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200"/>
        <w:jc w:val="center"/>
      </w:pPr>
      <w:r>
        <w:rPr>
          <w:rFonts w:ascii="Times New Roman" w:hAnsi="Times New Roman" w:cs="Times New Roman"/>
          <w:b/>
          <w:bCs/>
          <w:sz w:val="32"/>
          <w:szCs w:val="32"/>
        </w:rPr>
        <w:t xml:space="preserve">Vulnerability Disclosure Policy — draft with drafting notes</w:t>
      </w:r>
    </w:p>
    <w:tbl>
      <w:tblPr>
        <w:tblStyle w:val="TableGrid"/>
        <w:tblW w:w="936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Pr>
      <w:tblGrid>
        <w:gridCol w:w="2600"/>
        <w:gridCol w:w="6760"/>
      </w:tblGrid>
      <w:tr>
        <w:trPr>
          <w:cantSplit/>
        </w:trPr>
        <w:tc>
          <w:tcPr>
            <w:tcW w:w="2600" w:type="dxa"/>
            <w:shd w:val="clear" w:color="auto" w:fill="EDEDED"/>
          </w:tcPr>
          <w:p>
            <w:pPr>
              <w:spacing w:after="40"/>
            </w:pPr>
            <w:r>
              <w:rPr>
                <w:rFonts w:ascii="Times New Roman" w:hAnsi="Times New Roman" w:cs="Times New Roman"/>
                <w:sz w:val="18"/>
                <w:szCs w:val="18"/>
              </w:rPr>
              <w:t xml:space="preserve">Doc Id</w:t>
            </w:r>
          </w:p>
        </w:tc>
        <w:tc>
          <w:tcPr>
            <w:tcW w:w="6760" w:type="dxa"/>
          </w:tcPr>
          <w:p>
            <w:pPr>
              <w:spacing w:after="40"/>
            </w:pPr>
            <w:r>
              <w:rPr>
                <w:rFonts w:ascii="Times New Roman" w:hAnsi="Times New Roman" w:cs="Times New Roman"/>
                <w:sz w:val="18"/>
                <w:szCs w:val="18"/>
              </w:rPr>
              <w:t xml:space="preserve">POL-VDP-001</w:t>
            </w:r>
          </w:p>
        </w:tc>
      </w:tr>
      <w:tr>
        <w:trPr>
          <w:cantSplit/>
        </w:trPr>
        <w:tc>
          <w:tcPr>
            <w:tcW w:w="2600" w:type="dxa"/>
            <w:shd w:val="clear" w:color="auto" w:fill="EDEDED"/>
          </w:tcPr>
          <w:p>
            <w:pPr>
              <w:spacing w:after="40"/>
            </w:pPr>
            <w:r>
              <w:rPr>
                <w:rFonts w:ascii="Times New Roman" w:hAnsi="Times New Roman" w:cs="Times New Roman"/>
                <w:sz w:val="18"/>
                <w:szCs w:val="18"/>
              </w:rPr>
              <w:t xml:space="preserve">Version</w:t>
            </w:r>
          </w:p>
        </w:tc>
        <w:tc>
          <w:tcPr>
            <w:tcW w:w="6760" w:type="dxa"/>
          </w:tcPr>
          <w:p>
            <w:pPr>
              <w:spacing w:after="40"/>
            </w:pPr>
            <w:r>
              <w:rPr>
                <w:rFonts w:ascii="Times New Roman" w:hAnsi="Times New Roman" w:cs="Times New Roman"/>
                <w:sz w:val="18"/>
                <w:szCs w:val="18"/>
              </w:rPr>
              <w:t xml:space="preserve">0.3</w:t>
            </w:r>
          </w:p>
        </w:tc>
      </w:tr>
      <w:tr>
        <w:trPr>
          <w:cantSplit/>
        </w:trPr>
        <w:tc>
          <w:tcPr>
            <w:tcW w:w="2600" w:type="dxa"/>
            <w:shd w:val="clear" w:color="auto" w:fill="EDEDED"/>
          </w:tcPr>
          <w:p>
            <w:pPr>
              <w:spacing w:after="40"/>
            </w:pPr>
            <w:r>
              <w:rPr>
                <w:rFonts w:ascii="Times New Roman" w:hAnsi="Times New Roman" w:cs="Times New Roman"/>
                <w:sz w:val="18"/>
                <w:szCs w:val="18"/>
              </w:rPr>
              <w:t xml:space="preserve">Status</w:t>
            </w:r>
          </w:p>
        </w:tc>
        <w:tc>
          <w:tcPr>
            <w:tcW w:w="6760" w:type="dxa"/>
          </w:tcPr>
          <w:p>
            <w:pPr>
              <w:spacing w:after="40"/>
            </w:pPr>
            <w:r>
              <w:rPr>
                <w:rFonts w:ascii="Times New Roman" w:hAnsi="Times New Roman" w:cs="Times New Roman"/>
                <w:sz w:val="18"/>
                <w:szCs w:val="18"/>
              </w:rPr>
              <w:t xml:space="preserve">draft</w:t>
            </w:r>
          </w:p>
        </w:tc>
      </w:tr>
      <w:tr>
        <w:trPr>
          <w:cantSplit/>
        </w:trPr>
        <w:tc>
          <w:tcPr>
            <w:tcW w:w="2600" w:type="dxa"/>
            <w:shd w:val="clear" w:color="auto" w:fill="EDEDED"/>
          </w:tcPr>
          <w:p>
            <w:pPr>
              <w:spacing w:after="40"/>
            </w:pPr>
            <w:r>
              <w:rPr>
                <w:rFonts w:ascii="Times New Roman" w:hAnsi="Times New Roman" w:cs="Times New Roman"/>
                <w:sz w:val="18"/>
                <w:szCs w:val="18"/>
              </w:rPr>
              <w:t xml:space="preserve">Created</w:t>
            </w:r>
          </w:p>
        </w:tc>
        <w:tc>
          <w:tcPr>
            <w:tcW w:w="6760" w:type="dxa"/>
          </w:tcPr>
          <w:p>
            <w:pPr>
              <w:spacing w:after="40"/>
            </w:pPr>
            <w:r>
              <w:rPr>
                <w:rFonts w:ascii="Times New Roman" w:hAnsi="Times New Roman" w:cs="Times New Roman"/>
                <w:sz w:val="18"/>
                <w:szCs w:val="18"/>
              </w:rPr>
              <w:t xml:space="preserve">2026-09-25</w:t>
            </w:r>
          </w:p>
        </w:tc>
      </w:tr>
      <w:tr>
        <w:trPr>
          <w:cantSplit/>
        </w:trPr>
        <w:tc>
          <w:tcPr>
            <w:tcW w:w="2600" w:type="dxa"/>
            <w:shd w:val="clear" w:color="auto" w:fill="EDEDED"/>
          </w:tcPr>
          <w:p>
            <w:pPr>
              <w:spacing w:after="40"/>
            </w:pPr>
            <w:r>
              <w:rPr>
                <w:rFonts w:ascii="Times New Roman" w:hAnsi="Times New Roman" w:cs="Times New Roman"/>
                <w:sz w:val="18"/>
                <w:szCs w:val="18"/>
              </w:rPr>
              <w:t xml:space="preserve">Last Reviewed</w:t>
            </w:r>
          </w:p>
        </w:tc>
        <w:tc>
          <w:tcPr>
            <w:tcW w:w="6760" w:type="dxa"/>
          </w:tcPr>
          <w:p>
            <w:pPr>
              <w:spacing w:after="40"/>
            </w:pPr>
            <w:r>
              <w:rPr>
                <w:rFonts w:ascii="Times New Roman" w:hAnsi="Times New Roman" w:cs="Times New Roman"/>
                <w:sz w:val="18"/>
                <w:szCs w:val="18"/>
              </w:rPr>
              <w:t xml:space="preserve">2026-09-25</w:t>
            </w:r>
          </w:p>
        </w:tc>
      </w:tr>
      <w:tr>
        <w:trPr>
          <w:cantSplit/>
        </w:trPr>
        <w:tc>
          <w:tcPr>
            <w:tcW w:w="2600" w:type="dxa"/>
            <w:shd w:val="clear" w:color="auto" w:fill="EDEDED"/>
          </w:tcPr>
          <w:p>
            <w:pPr>
              <w:spacing w:after="40"/>
            </w:pPr>
            <w:r>
              <w:rPr>
                <w:rFonts w:ascii="Times New Roman" w:hAnsi="Times New Roman" w:cs="Times New Roman"/>
                <w:sz w:val="18"/>
                <w:szCs w:val="18"/>
              </w:rPr>
              <w:t xml:space="preserve">Law Checked</w:t>
            </w:r>
          </w:p>
        </w:tc>
        <w:tc>
          <w:tcPr>
            <w:tcW w:w="6760" w:type="dxa"/>
          </w:tcPr>
          <w:p>
            <w:pPr>
              <w:spacing w:after="40"/>
            </w:pPr>
            <w:r>
              <w:rPr>
                <w:rFonts w:ascii="Times New Roman" w:hAnsi="Times New Roman" w:cs="Times New Roman"/>
                <w:sz w:val="18"/>
                <w:szCs w:val="18"/>
              </w:rPr>
              <w:t xml:space="preserve">2026-09-25 (CISA VDP template read by AI reviewer — Reported; CRA, DOJ policy and §1201 exemption not opened)</w:t>
            </w:r>
          </w:p>
        </w:tc>
      </w:tr>
      <w:tr>
        <w:trPr>
          <w:cantSplit/>
        </w:trPr>
        <w:tc>
          <w:tcPr>
            <w:tcW w:w="2600" w:type="dxa"/>
            <w:shd w:val="clear" w:color="auto" w:fill="EDEDED"/>
          </w:tcPr>
          <w:p>
            <w:pPr>
              <w:spacing w:after="40"/>
            </w:pPr>
            <w:r>
              <w:rPr>
                <w:rFonts w:ascii="Times New Roman" w:hAnsi="Times New Roman" w:cs="Times New Roman"/>
                <w:sz w:val="18"/>
                <w:szCs w:val="18"/>
              </w:rPr>
              <w:t xml:space="preserve">Owner</w:t>
            </w:r>
          </w:p>
        </w:tc>
        <w:tc>
          <w:tcPr>
            <w:tcW w:w="6760" w:type="dxa"/>
          </w:tcPr>
          <w:p>
            <w:pPr>
              <w:spacing w:after="40"/>
            </w:pPr>
            <w:r>
              <w:rPr>
                <w:rFonts w:ascii="Times New Roman" w:hAnsi="Times New Roman" w:cs="Times New Roman"/>
                <w:sz w:val="18"/>
                <w:szCs w:val="18"/>
              </w:rPr>
              <w:t xml:space="preserve">CTO (named person TBD) with Legal Lead</w:t>
            </w:r>
          </w:p>
        </w:tc>
      </w:tr>
      <w:tr>
        <w:trPr>
          <w:cantSplit/>
        </w:trPr>
        <w:tc>
          <w:tcPr>
            <w:tcW w:w="2600" w:type="dxa"/>
            <w:shd w:val="clear" w:color="auto" w:fill="EDEDED"/>
          </w:tcPr>
          <w:p>
            <w:pPr>
              <w:spacing w:after="40"/>
            </w:pPr>
            <w:r>
              <w:rPr>
                <w:rFonts w:ascii="Times New Roman" w:hAnsi="Times New Roman" w:cs="Times New Roman"/>
                <w:sz w:val="18"/>
                <w:szCs w:val="18"/>
              </w:rPr>
              <w:t xml:space="preserve">Counsel Needed</w:t>
            </w:r>
          </w:p>
        </w:tc>
        <w:tc>
          <w:tcPr>
            <w:tcW w:w="6760" w:type="dxa"/>
          </w:tcPr>
          <w:p>
            <w:pPr>
              <w:spacing w:after="40"/>
            </w:pPr>
            <w:r>
              <w:rPr>
                <w:rFonts w:ascii="Times New Roman" w:hAnsi="Times New Roman" w:cs="Times New Roman"/>
                <w:sz w:val="18"/>
                <w:szCs w:val="18"/>
              </w:rPr>
              <w:t xml:space="preserve">yes</w:t>
            </w:r>
          </w:p>
        </w:tc>
      </w:tr>
      <w:tr>
        <w:trPr>
          <w:cantSplit/>
        </w:trPr>
        <w:tc>
          <w:tcPr>
            <w:tcW w:w="2600" w:type="dxa"/>
            <w:shd w:val="clear" w:color="auto" w:fill="EDEDED"/>
          </w:tcPr>
          <w:p>
            <w:pPr>
              <w:spacing w:after="40"/>
            </w:pPr>
            <w:r>
              <w:rPr>
                <w:rFonts w:ascii="Times New Roman" w:hAnsi="Times New Roman" w:cs="Times New Roman"/>
                <w:sz w:val="18"/>
                <w:szCs w:val="18"/>
              </w:rPr>
              <w:t xml:space="preserve">Counsel Status</w:t>
            </w:r>
          </w:p>
        </w:tc>
        <w:tc>
          <w:tcPr>
            <w:tcW w:w="6760" w:type="dxa"/>
          </w:tcPr>
          <w:p>
            <w:pPr>
              <w:spacing w:after="40"/>
            </w:pPr>
            <w:r>
              <w:rPr>
                <w:rFonts w:ascii="Times New Roman" w:hAnsi="Times New Roman" w:cs="Times New Roman"/>
                <w:sz w:val="18"/>
                <w:szCs w:val="18"/>
              </w:rPr>
              <w:t xml:space="preserve">none</w:t>
            </w:r>
          </w:p>
        </w:tc>
      </w:tr>
      <w:tr>
        <w:trPr>
          <w:cantSplit/>
        </w:trPr>
        <w:tc>
          <w:tcPr>
            <w:tcW w:w="2600" w:type="dxa"/>
            <w:shd w:val="clear" w:color="auto" w:fill="EDEDED"/>
          </w:tcPr>
          <w:p>
            <w:pPr>
              <w:spacing w:after="40"/>
            </w:pPr>
            <w:r>
              <w:rPr>
                <w:rFonts w:ascii="Times New Roman" w:hAnsi="Times New Roman" w:cs="Times New Roman"/>
                <w:sz w:val="18"/>
                <w:szCs w:val="18"/>
              </w:rPr>
              <w:t xml:space="preserve">Confidentiality</w:t>
            </w:r>
          </w:p>
        </w:tc>
        <w:tc>
          <w:tcPr>
            <w:tcW w:w="6760" w:type="dxa"/>
          </w:tcPr>
          <w:p>
            <w:pPr>
              <w:spacing w:after="40"/>
            </w:pPr>
            <w:r>
              <w:rPr>
                <w:rFonts w:ascii="Times New Roman" w:hAnsi="Times New Roman" w:cs="Times New Roman"/>
                <w:sz w:val="18"/>
                <w:szCs w:val="18"/>
              </w:rPr>
              <w:t xml:space="preserve">INTERNAL — LEGAL (Part B becomes PUBLIC on publication)</w:t>
            </w:r>
          </w:p>
        </w:tc>
      </w:tr>
    </w:tbl>
    <w:p>
      <w:pPr>
        <w:spacing w:after="60"/>
      </w:pPr>
    </w:p>
    <w:p>
      <w:pPr>
        <w:shd w:val="clear" w:color="auto" w:fill="F2F2F2"/>
        <w:spacing w:after="240"/>
        <w:jc w:val="center"/>
      </w:pPr>
      <w:r>
        <w:rPr>
          <w:rFonts w:ascii="Times New Roman" w:hAnsi="Times New Roman" w:cs="Times New Roman"/>
          <w:b/>
          <w:bCs/>
          <w:sz w:val="18"/>
          <w:szCs w:val="18"/>
        </w:rPr>
        <w:t xml:space="preserve">DRAFT — PREPARED FOR REVIEW BY LICENSED COUNSEL — NOT LEGAL ADVICE</w:t>
      </w:r>
    </w:p>
    <w:p>
      <w:pPr>
        <w:shd w:val="clear" w:color="auto" w:fill="F7F7F7"/>
        <w:ind w:left="567" w:hanging="0"/>
      </w:pPr>
      <w:r>
        <w:rPr>
          <w:rFonts w:ascii="Times New Roman" w:hAnsi="Times New Roman" w:cs="Times New Roman"/>
          <w:b/>
          <w:bCs/>
          <w:i/>
        </w:rPr>
        <w:t xml:space="preserve">Prepared for review by licensed counsel. Not legal advice.</w:t>
      </w:r>
      <w:r>
        <w:rPr>
          <w:rFonts w:ascii="Times New Roman" w:hAnsi="Times New Roman" w:cs="Times New Roman"/>
          <w:i/>
        </w:rPr>
        <w:t xml:space="preserve"> Part B is the proposed public text; Parts A and C are internal.</w:t>
      </w:r>
    </w:p>
    <w:p>
      <w:pPr>
        <w:pStyle w:val="Heading2"/>
        <w:keepNext/>
      </w:pPr>
      <w:r>
        <w:rPr>
          <w:rFonts w:ascii="Times New Roman" w:hAnsi="Times New Roman" w:cs="Times New Roman"/>
        </w:rPr>
        <w:t xml:space="preserve">Part A — Drafting brief (internal)</w:t>
      </w:r>
    </w:p>
    <w:tbl>
      <w:tblPr>
        <w:tblStyle w:val="TableGrid"/>
        <w:tblW w:w="936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Pr>
      <w:tblGrid>
        <w:gridCol w:w="4680"/>
        <w:gridCol w:w="4680"/>
      </w:tblGrid>
      <w:tr>
        <w:trPr>
          <w:tblHeader/>
          <w:cantSplit/>
        </w:trPr>
        <w:tc>
          <w:tcPr>
            <w:tcW w:w="4680" w:type="dxa"/>
            <w:shd w:val="clear" w:color="auto" w:fill="D9D9D9"/>
          </w:tcPr>
          <w:p>
            <w:pPr>
              <w:spacing w:after="40"/>
            </w:pPr>
            <w:r>
              <w:rPr>
                <w:rFonts w:ascii="Times New Roman" w:hAnsi="Times New Roman" w:cs="Times New Roman"/>
                <w:b/>
                <w:bCs/>
                <w:sz w:val="17"/>
                <w:szCs w:val="17"/>
              </w:rPr>
              <w:t xml:space="preserve">Item</w:t>
            </w:r>
          </w:p>
        </w:tc>
        <w:tc>
          <w:tcPr>
            <w:tcW w:w="4680" w:type="dxa"/>
            <w:shd w:val="clear" w:color="auto" w:fill="D9D9D9"/>
          </w:tcPr>
          <w:p>
            <w:pPr>
              <w:spacing w:after="40"/>
            </w:pPr>
            <w:r>
              <w:rPr>
                <w:rFonts w:ascii="Times New Roman" w:hAnsi="Times New Roman" w:cs="Times New Roman"/>
                <w:b/>
                <w:bCs/>
                <w:sz w:val="17"/>
                <w:szCs w:val="17"/>
              </w:rPr>
              <w:t xml:space="preserve">Value</w:t>
            </w:r>
          </w:p>
        </w:tc>
      </w:tr>
      <w:tr>
        <w:trPr>
          <w:cantSplit/>
        </w:trPr>
        <w:tc>
          <w:tcPr>
            <w:tcW w:w="4680" w:type="dxa"/>
          </w:tcPr>
          <w:p>
            <w:pPr>
              <w:spacing w:after="40"/>
            </w:pPr>
            <w:r>
              <w:rPr>
                <w:rFonts w:ascii="Times New Roman" w:hAnsi="Times New Roman" w:cs="Times New Roman"/>
                <w:sz w:val="17"/>
                <w:szCs w:val="17"/>
              </w:rPr>
              <w:t xml:space="preserve">Question presented</w:t>
            </w:r>
          </w:p>
        </w:tc>
        <w:tc>
          <w:tcPr>
            <w:tcW w:w="4680" w:type="dxa"/>
          </w:tcPr>
          <w:p>
            <w:pPr>
              <w:spacing w:after="40"/>
            </w:pPr>
            <w:r>
              <w:rPr>
                <w:rFonts w:ascii="Times New Roman" w:hAnsi="Times New Roman" w:cs="Times New Roman"/>
                <w:sz w:val="17"/>
                <w:szCs w:val="17"/>
              </w:rPr>
              <w:t xml:space="preserve">How can security researchers report vulnerabilities, what may they test, and what assurance can HidzoVPN lawfully give them?</w:t>
            </w:r>
          </w:p>
        </w:tc>
      </w:tr>
      <w:tr>
        <w:trPr>
          <w:cantSplit/>
        </w:trPr>
        <w:tc>
          <w:tcPr>
            <w:tcW w:w="4680" w:type="dxa"/>
          </w:tcPr>
          <w:p>
            <w:pPr>
              <w:spacing w:after="40"/>
            </w:pPr>
            <w:r>
              <w:rPr>
                <w:rFonts w:ascii="Times New Roman" w:hAnsi="Times New Roman" w:cs="Times New Roman"/>
                <w:sz w:val="17"/>
                <w:szCs w:val="17"/>
              </w:rPr>
              <w:t xml:space="preserve">Drivers</w:t>
            </w:r>
          </w:p>
        </w:tc>
        <w:tc>
          <w:tcPr>
            <w:tcW w:w="4680" w:type="dxa"/>
          </w:tcPr>
          <w:p>
            <w:pPr>
              <w:spacing w:after="40"/>
            </w:pPr>
            <w:r>
              <w:rPr>
                <w:rFonts w:ascii="Times New Roman" w:hAnsi="Times New Roman" w:cs="Times New Roman"/>
                <w:sz w:val="17"/>
                <w:szCs w:val="17"/>
              </w:rPr>
              <w:t xml:space="preserve">EU Cyber Resilience Act: Art. 14 reporting of actively exploited vulnerabilities and severe incidents — reported to apply from 11 Sep 2026; Art. 13 and Annex I Part II (vulnerability handling, coordinated disclosure policy) — reported to apply from 11 Dec 2027 (EV-224, Reported); RFC 9116 security.txt (EV-231, Reported); RSK-041; BRF-2026-001 P1-9</w:t>
            </w:r>
          </w:p>
        </w:tc>
      </w:tr>
      <w:tr>
        <w:trPr>
          <w:cantSplit/>
        </w:trPr>
        <w:tc>
          <w:tcPr>
            <w:tcW w:w="4680" w:type="dxa"/>
          </w:tcPr>
          <w:p>
            <w:pPr>
              <w:spacing w:after="40"/>
            </w:pPr>
            <w:r>
              <w:rPr>
                <w:rFonts w:ascii="Times New Roman" w:hAnsi="Times New Roman" w:cs="Times New Roman"/>
                <w:sz w:val="17"/>
                <w:szCs w:val="17"/>
              </w:rPr>
              <w:t xml:space="preserve">Model</w:t>
            </w:r>
          </w:p>
        </w:tc>
        <w:tc>
          <w:tcPr>
            <w:tcW w:w="4680" w:type="dxa"/>
          </w:tcPr>
          <w:p>
            <w:pPr>
              <w:spacing w:after="40"/>
            </w:pPr>
            <w:r>
              <w:rPr>
                <w:rFonts w:ascii="Times New Roman" w:hAnsi="Times New Roman" w:cs="Times New Roman"/>
                <w:sz w:val="17"/>
                <w:szCs w:val="17"/>
              </w:rPr>
              <w:t xml:space="preserve">CISA VDP template (Reported, EV-237) — written for federal agencies; adapted here into conditional, contractual commitments a private company can keep</w:t>
            </w:r>
          </w:p>
        </w:tc>
      </w:tr>
      <w:tr>
        <w:trPr>
          <w:cantSplit/>
        </w:trPr>
        <w:tc>
          <w:tcPr>
            <w:tcW w:w="4680" w:type="dxa"/>
          </w:tcPr>
          <w:p>
            <w:pPr>
              <w:spacing w:after="40"/>
            </w:pPr>
            <w:r>
              <w:rPr>
                <w:rFonts w:ascii="Times New Roman" w:hAnsi="Times New Roman" w:cs="Times New Roman"/>
                <w:sz w:val="17"/>
                <w:szCs w:val="17"/>
              </w:rPr>
              <w:t xml:space="preserve">Prerequisites</w:t>
            </w:r>
          </w:p>
        </w:tc>
        <w:tc>
          <w:tcPr>
            <w:tcW w:w="4680" w:type="dxa"/>
          </w:tcPr>
          <w:p>
            <w:pPr>
              <w:spacing w:after="40"/>
            </w:pPr>
            <w:r>
              <w:rPr>
                <w:rFonts w:ascii="Times New Roman" w:hAnsi="Times New Roman" w:cs="Times New Roman"/>
                <w:sz w:val="17"/>
                <w:szCs w:val="17"/>
              </w:rPr>
              <w:t xml:space="preserve">security@ mailbox with a named owner and backup; triage and a procedure to identify "actively exploited" vulnerabilities within CRA time limits; </w:t>
            </w:r>
            <w:r>
              <w:rPr>
                <w:rFonts w:ascii="Consolas" w:hAnsi="Consolas" w:cs="Times New Roman"/>
                <w:sz w:val="17"/>
                <w:szCs w:val="17"/>
              </w:rPr>
              <w:t xml:space="preserve">/.well-known/security.txt</w:t>
            </w:r>
            <w:r>
              <w:rPr>
                <w:rFonts w:ascii="Times New Roman" w:hAnsi="Times New Roman" w:cs="Times New Roman"/>
                <w:sz w:val="17"/>
                <w:szCs w:val="17"/>
              </w:rPr>
              <w:t xml:space="preserve">; PGP key and replies issued under the role identity "HidzoVPN Security Team" with no personal names (RSK-031) </w:t>
            </w:r>
            <w:r>
              <w:rPr>
                <w:rFonts w:ascii="Consolas" w:hAnsi="Consolas" w:cs="Times New Roman"/>
                <w:sz w:val="17"/>
                <w:szCs w:val="17"/>
              </w:rPr>
              <w:t xml:space="preserve">[ENGINEERING]</w:t>
            </w:r>
          </w:p>
        </w:tc>
      </w:tr>
      <w:tr>
        <w:trPr>
          <w:cantSplit/>
        </w:trPr>
        <w:tc>
          <w:tcPr>
            <w:tcW w:w="4680" w:type="dxa"/>
          </w:tcPr>
          <w:p>
            <w:pPr>
              <w:spacing w:after="40"/>
            </w:pPr>
            <w:r>
              <w:rPr>
                <w:rFonts w:ascii="Times New Roman" w:hAnsi="Times New Roman" w:cs="Times New Roman"/>
                <w:sz w:val="17"/>
                <w:szCs w:val="17"/>
              </w:rPr>
              <w:t xml:space="preserve">No rewards</w:t>
            </w:r>
          </w:p>
        </w:tc>
        <w:tc>
          <w:tcPr>
            <w:tcW w:w="4680" w:type="dxa"/>
          </w:tcPr>
          <w:p>
            <w:pPr>
              <w:spacing w:after="40"/>
            </w:pPr>
            <w:r>
              <w:rPr>
                <w:rFonts w:ascii="Times New Roman" w:hAnsi="Times New Roman" w:cs="Times New Roman"/>
                <w:sz w:val="17"/>
                <w:szCs w:val="17"/>
              </w:rPr>
              <w:t xml:space="preserve">No bounty program; a later decision (roadmap #30)</w:t>
            </w:r>
          </w:p>
        </w:tc>
      </w:tr>
    </w:tbl>
    <w:p>
      <w:pPr>
        <w:spacing w:after="60"/>
      </w:pPr>
    </w:p>
    <w:p>
      <w:pPr>
        <w:pStyle w:val="Heading2"/>
        <w:keepNext/>
      </w:pPr>
      <w:r>
        <w:rPr>
          <w:rFonts w:ascii="Times New Roman" w:hAnsi="Times New Roman" w:cs="Times New Roman"/>
        </w:rPr>
        <w:t xml:space="preserve">Part B — Proposed public text</w:t>
      </w:r>
    </w:p>
    <w:p>
      <w:pPr>
        <w:pStyle w:val="Heading1"/>
        <w:keepNext/>
      </w:pPr>
      <w:r>
        <w:rPr>
          <w:rFonts w:ascii="Times New Roman" w:hAnsi="Times New Roman" w:cs="Times New Roman"/>
        </w:rPr>
        <w:t xml:space="preserve">Vulnerability Disclosure Policy</w:t>
      </w:r>
    </w:p>
    <w:p>
      <w:pPr>
        <w:jc w:val="both"/>
      </w:pPr>
      <w:r>
        <w:rPr>
          <w:rFonts w:ascii="Times New Roman" w:hAnsi="Times New Roman" w:cs="Times New Roman"/>
          <w:b/>
          <w:bCs/>
        </w:rPr>
        <w:t xml:space="preserve">Version:</w:t>
      </w:r>
      <w:r>
        <w:rPr>
          <w:rFonts w:ascii="Times New Roman" w:hAnsi="Times New Roman" w:cs="Times New Roman"/>
        </w:rPr>
        <w:t xml:space="preserve"> 1.0 </w:t>
      </w:r>
      <w:r>
        <w:rPr>
          <w:rFonts w:ascii="Consolas" w:hAnsi="Consolas" w:cs="Times New Roman"/>
        </w:rPr>
        <w:t xml:space="preserve">[OPEN]</w:t>
      </w:r>
      <w:r>
        <w:rPr>
          <w:rFonts w:ascii="Times New Roman" w:hAnsi="Times New Roman" w:cs="Times New Roman"/>
        </w:rPr>
        <w:t xml:space="preserve"> · </w:t>
      </w:r>
      <w:r>
        <w:rPr>
          <w:rFonts w:ascii="Times New Roman" w:hAnsi="Times New Roman" w:cs="Times New Roman"/>
          <w:b/>
          <w:bCs/>
        </w:rPr>
        <w:t xml:space="preserve">Effective:</w:t>
      </w:r>
      <w:r>
        <w:rPr>
          <w:rFonts w:ascii="Times New Roman" w:hAnsi="Times New Roman" w:cs="Times New Roman"/>
        </w:rPr>
        <w:t xml:space="preserve"> </w:t>
      </w:r>
      <w:r>
        <w:rPr>
          <w:rFonts w:ascii="Consolas" w:hAnsi="Consolas" w:cs="Times New Roman"/>
        </w:rPr>
        <w:t xml:space="preserve">[OPEN: date]</w:t>
      </w:r>
    </w:p>
    <w:p>
      <w:pPr>
        <w:jc w:val="both"/>
      </w:pPr>
      <w:r>
        <w:rPr>
          <w:rFonts w:ascii="Times New Roman" w:hAnsi="Times New Roman" w:cs="Times New Roman"/>
        </w:rPr>
        <w:t xml:space="preserve">HidzoVPN, Inc. accepts reports of security vulnerabilities in our Services. This policy explains how to report a vulnerability, what testing we authorize and what commitments we make. It supplements our Terms of Service. We do not pay rewards for reports.</w:t>
      </w:r>
    </w:p>
    <w:p>
      <w:pPr>
        <w:pStyle w:val="Heading2"/>
        <w:keepNext/>
      </w:pPr>
      <w:r>
        <w:rPr>
          <w:rFonts w:ascii="Times New Roman" w:hAnsi="Times New Roman" w:cs="Times New Roman"/>
        </w:rPr>
        <w:t xml:space="preserve">1. How to report</w:t>
      </w:r>
    </w:p>
    <w:p>
      <w:pPr>
        <w:jc w:val="both"/>
      </w:pPr>
      <w:r>
        <w:rPr>
          <w:rFonts w:ascii="Times New Roman" w:hAnsi="Times New Roman" w:cs="Times New Roman"/>
        </w:rPr>
        <w:t xml:space="preserve">Email </w:t>
      </w:r>
      <w:r>
        <w:rPr>
          <w:rFonts w:ascii="Consolas" w:hAnsi="Consolas" w:cs="Times New Roman"/>
        </w:rPr>
        <w:t xml:space="preserve">[OPEN: security@hidzovpn.com]</w:t>
      </w:r>
      <w:r>
        <w:rPr>
          <w:rFonts w:ascii="Times New Roman" w:hAnsi="Times New Roman" w:cs="Times New Roman"/>
        </w:rPr>
        <w:t xml:space="preserve"> </w:t>
      </w:r>
      <w:r>
        <w:rPr>
          <w:rFonts w:ascii="Consolas" w:hAnsi="Consolas" w:cs="Times New Roman"/>
        </w:rPr>
        <w:t xml:space="preserve">[OPEN: with our PGP key at https://hidzovpn.com/.well-known/pgp-key.txt]</w:t>
      </w:r>
      <w:r>
        <w:rPr>
          <w:rFonts w:ascii="Times New Roman" w:hAnsi="Times New Roman" w:cs="Times New Roman"/>
        </w:rPr>
        <w:t xml:space="preserve">. Please include the affected app, version, website or server; a description of the vulnerability and its possible impact; the steps needed to reproduce it; and how we can contact you. Our contact details are also published in </w:t>
      </w:r>
      <w:r>
        <w:rPr>
          <w:rFonts w:ascii="Consolas" w:hAnsi="Consolas" w:cs="Times New Roman"/>
        </w:rPr>
        <w:t xml:space="preserve">https://hidzovpn.com/.well-known/security.txt</w:t>
      </w:r>
      <w:r>
        <w:rPr>
          <w:rFonts w:ascii="Times New Roman" w:hAnsi="Times New Roman" w:cs="Times New Roman"/>
        </w:rPr>
        <w:t xml:space="preserve"> </w:t>
      </w:r>
      <w:r>
        <w:rPr>
          <w:rFonts w:ascii="Consolas" w:hAnsi="Consolas" w:cs="Times New Roman"/>
        </w:rPr>
        <w:t xml:space="preserve">[ENGINEERING: file live — RFC 9116]</w:t>
      </w:r>
      <w:r>
        <w:rPr>
          <w:rFonts w:ascii="Times New Roman" w:hAnsi="Times New Roman" w:cs="Times New Roman"/>
        </w:rPr>
        <w:t xml:space="preserve">.</w:t>
      </w:r>
    </w:p>
    <w:p>
      <w:pPr>
        <w:pStyle w:val="Heading2"/>
        <w:keepNext/>
      </w:pPr>
      <w:r>
        <w:rPr>
          <w:rFonts w:ascii="Times New Roman" w:hAnsi="Times New Roman" w:cs="Times New Roman"/>
        </w:rPr>
        <w:t xml:space="preserve">2. What we will do</w:t>
      </w:r>
    </w:p>
    <w:p>
      <w:pPr>
        <w:spacing w:after="60"/>
        <w:ind w:left="720" w:hanging="360"/>
      </w:pPr>
      <w:r>
        <w:rPr>
          <w:rFonts w:ascii="Times New Roman" w:hAnsi="Times New Roman" w:cs="Times New Roman"/>
        </w:rPr>
        <w:t xml:space="preserve">•	</w:t>
      </w:r>
      <w:r>
        <w:rPr>
          <w:rFonts w:ascii="Times New Roman" w:hAnsi="Times New Roman" w:cs="Times New Roman"/>
        </w:rPr>
        <w:t xml:space="preserve">We will acknowledge your report within </w:t>
      </w:r>
      <w:r>
        <w:rPr>
          <w:rFonts w:ascii="Consolas" w:hAnsi="Consolas" w:cs="Times New Roman"/>
        </w:rPr>
        <w:t xml:space="preserve">[OPEN: 3]</w:t>
      </w:r>
      <w:r>
        <w:rPr>
          <w:rFonts w:ascii="Times New Roman" w:hAnsi="Times New Roman" w:cs="Times New Roman"/>
        </w:rPr>
        <w:t xml:space="preserve"> business days </w:t>
      </w:r>
      <w:r>
        <w:rPr>
          <w:rFonts w:ascii="Consolas" w:hAnsi="Consolas" w:cs="Times New Roman"/>
        </w:rPr>
        <w:t xml:space="preserve">[ENGINEERING: owner named; rota in place]</w:t>
      </w:r>
      <w:r>
        <w:rPr>
          <w:rFonts w:ascii="Times New Roman" w:hAnsi="Times New Roman" w:cs="Times New Roman"/>
        </w:rPr>
        <w:t xml:space="preserve">.</w:t>
      </w:r>
    </w:p>
    <w:p>
      <w:pPr>
        <w:spacing w:after="60"/>
        <w:ind w:left="720" w:hanging="360"/>
      </w:pPr>
      <w:r>
        <w:rPr>
          <w:rFonts w:ascii="Times New Roman" w:hAnsi="Times New Roman" w:cs="Times New Roman"/>
        </w:rPr>
        <w:t xml:space="preserve">•	</w:t>
      </w:r>
      <w:r>
        <w:rPr>
          <w:rFonts w:ascii="Times New Roman" w:hAnsi="Times New Roman" w:cs="Times New Roman"/>
        </w:rPr>
        <w:t xml:space="preserve">We will tell you at least every </w:t>
      </w:r>
      <w:r>
        <w:rPr>
          <w:rFonts w:ascii="Consolas" w:hAnsi="Consolas" w:cs="Times New Roman"/>
        </w:rPr>
        <w:t xml:space="preserve">[OPEN]</w:t>
      </w:r>
      <w:r>
        <w:rPr>
          <w:rFonts w:ascii="Times New Roman" w:hAnsi="Times New Roman" w:cs="Times New Roman"/>
        </w:rPr>
        <w:t xml:space="preserve"> days whether the issue is still open </w:t>
      </w:r>
      <w:r>
        <w:rPr>
          <w:rFonts w:ascii="Consolas" w:hAnsi="Consolas" w:cs="Times New Roman"/>
        </w:rPr>
        <w:t xml:space="preserve">[ENGINEERING]</w:t>
      </w:r>
      <w:r>
        <w:rPr>
          <w:rFonts w:ascii="Times New Roman" w:hAnsi="Times New Roman" w:cs="Times New Roman"/>
        </w:rPr>
        <w:t xml:space="preserve">.</w:t>
      </w:r>
    </w:p>
    <w:p>
      <w:pPr>
        <w:spacing w:after="60"/>
        <w:ind w:left="720" w:hanging="360"/>
      </w:pPr>
      <w:r>
        <w:rPr>
          <w:rFonts w:ascii="Times New Roman" w:hAnsi="Times New Roman" w:cs="Times New Roman"/>
        </w:rPr>
        <w:t xml:space="preserve">•	</w:t>
      </w:r>
      <w:r>
        <w:rPr>
          <w:rFonts w:ascii="Times New Roman" w:hAnsi="Times New Roman" w:cs="Times New Roman"/>
        </w:rPr>
        <w:t xml:space="preserve">We will tell you when the vulnerability has been fixed </w:t>
      </w:r>
      <w:r>
        <w:rPr>
          <w:rFonts w:ascii="Consolas" w:hAnsi="Consolas" w:cs="Times New Roman"/>
        </w:rPr>
        <w:t xml:space="preserve">[ENGINEERING]</w:t>
      </w:r>
      <w:r>
        <w:rPr>
          <w:rFonts w:ascii="Times New Roman" w:hAnsi="Times New Roman" w:cs="Times New Roman"/>
        </w:rPr>
        <w:t xml:space="preserve">.</w:t>
      </w:r>
    </w:p>
    <w:p>
      <w:pPr>
        <w:spacing w:after="60"/>
        <w:ind w:left="720" w:hanging="360"/>
      </w:pPr>
      <w:r>
        <w:rPr>
          <w:rFonts w:ascii="Times New Roman" w:hAnsi="Times New Roman" w:cs="Times New Roman"/>
        </w:rPr>
        <w:t xml:space="preserve">•	</w:t>
      </w:r>
      <w:r>
        <w:rPr>
          <w:rFonts w:ascii="Times New Roman" w:hAnsi="Times New Roman" w:cs="Times New Roman"/>
        </w:rPr>
        <w:t xml:space="preserve">If you wish, we will credit you publicly once the issue is fixed.</w:t>
      </w:r>
    </w:p>
    <w:p>
      <w:pPr>
        <w:pStyle w:val="Heading2"/>
        <w:keepNext/>
      </w:pPr>
      <w:r>
        <w:rPr>
          <w:rFonts w:ascii="Times New Roman" w:hAnsi="Times New Roman" w:cs="Times New Roman"/>
        </w:rPr>
        <w:t xml:space="preserve">3. Scope</w:t>
      </w:r>
    </w:p>
    <w:p>
      <w:pPr>
        <w:jc w:val="both"/>
      </w:pPr>
      <w:r>
        <w:rPr>
          <w:rFonts w:ascii="Times New Roman" w:hAnsi="Times New Roman" w:cs="Times New Roman"/>
          <w:b/>
          <w:bCs/>
        </w:rPr>
        <w:t xml:space="preserve">In scope:</w:t>
      </w:r>
      <w:r>
        <w:rPr>
          <w:rFonts w:ascii="Times New Roman" w:hAnsi="Times New Roman" w:cs="Times New Roman"/>
        </w:rPr>
        <w:t xml:space="preserve"> the HidzoVPN iOS app from the App Store; the HidzoVPN Android app from Google Play or our website; the domains listed here </w:t>
      </w:r>
      <w:r>
        <w:rPr>
          <w:rFonts w:ascii="Consolas" w:hAnsi="Consolas" w:cs="Times New Roman"/>
        </w:rPr>
        <w:t xml:space="preserve">[OPEN: list]</w:t>
      </w:r>
      <w:r>
        <w:rPr>
          <w:rFonts w:ascii="Times New Roman" w:hAnsi="Times New Roman" w:cs="Times New Roman"/>
        </w:rPr>
        <w:t xml:space="preserve">; and our VPN servers when you connect to them as an ordinary user of your own account.</w:t>
      </w:r>
    </w:p>
    <w:p>
      <w:pPr>
        <w:jc w:val="both"/>
      </w:pPr>
      <w:r>
        <w:rPr>
          <w:rFonts w:ascii="Times New Roman" w:hAnsi="Times New Roman" w:cs="Times New Roman"/>
          <w:b/>
          <w:bCs/>
        </w:rPr>
        <w:t xml:space="preserve">Out of scope:</w:t>
      </w:r>
      <w:r>
        <w:rPr>
          <w:rFonts w:ascii="Times New Roman" w:hAnsi="Times New Roman" w:cs="Times New Roman"/>
        </w:rPr>
        <w:t xml:space="preserve"> services, networks, hypervisors and facilities run by third parties, including Apple, Google, our payment processor and our hosting providers; physical attacks; social engineering of our staff or users; denial-of-service testing; and reports produced only by automated scanners without a demonstrated impact.</w:t>
      </w:r>
    </w:p>
    <w:p>
      <w:pPr>
        <w:pStyle w:val="Heading2"/>
        <w:keepNext/>
      </w:pPr>
      <w:r>
        <w:rPr>
          <w:rFonts w:ascii="Times New Roman" w:hAnsi="Times New Roman" w:cs="Times New Roman"/>
        </w:rPr>
        <w:t xml:space="preserve">4. Rules for testing</w:t>
      </w:r>
    </w:p>
    <w:p>
      <w:pPr>
        <w:jc w:val="both"/>
      </w:pPr>
      <w:r>
        <w:rPr>
          <w:rFonts w:ascii="Times New Roman" w:hAnsi="Times New Roman" w:cs="Times New Roman"/>
        </w:rPr>
        <w:t xml:space="preserve">When you test, you must:</w:t>
      </w:r>
    </w:p>
    <w:p>
      <w:pPr>
        <w:spacing w:after="60"/>
        <w:ind w:left="720" w:hanging="360"/>
      </w:pPr>
      <w:r>
        <w:rPr>
          <w:rFonts w:ascii="Times New Roman" w:hAnsi="Times New Roman" w:cs="Times New Roman"/>
        </w:rPr>
        <w:t xml:space="preserve">•	</w:t>
      </w:r>
      <w:r>
        <w:rPr>
          <w:rFonts w:ascii="Times New Roman" w:hAnsi="Times New Roman" w:cs="Times New Roman"/>
        </w:rPr>
        <w:t xml:space="preserve">use only accounts you own or have been given permission to use;</w:t>
      </w:r>
    </w:p>
    <w:p>
      <w:pPr>
        <w:spacing w:after="60"/>
        <w:ind w:left="720" w:hanging="360"/>
      </w:pPr>
      <w:r>
        <w:rPr>
          <w:rFonts w:ascii="Times New Roman" w:hAnsi="Times New Roman" w:cs="Times New Roman"/>
        </w:rPr>
        <w:t xml:space="preserve">•	</w:t>
      </w:r>
      <w:r>
        <w:rPr>
          <w:rFonts w:ascii="Times New Roman" w:hAnsi="Times New Roman" w:cs="Times New Roman"/>
        </w:rPr>
        <w:t xml:space="preserve">not intercept, collect, record or analyze the traffic, tunnel addresses or sessions of any other user;</w:t>
      </w:r>
    </w:p>
    <w:p>
      <w:pPr>
        <w:spacing w:after="60"/>
        <w:ind w:left="720" w:hanging="360"/>
      </w:pPr>
      <w:r>
        <w:rPr>
          <w:rFonts w:ascii="Times New Roman" w:hAnsi="Times New Roman" w:cs="Times New Roman"/>
        </w:rPr>
        <w:t xml:space="preserve">•	</w:t>
      </w:r>
      <w:r>
        <w:rPr>
          <w:rFonts w:ascii="Times New Roman" w:hAnsi="Times New Roman" w:cs="Times New Roman"/>
        </w:rPr>
        <w:t xml:space="preserve">not access, change or delete data belonging to other users — if you reach such data, stop, do not copy, keep or disclose it, delete any copy after you report it, and report it to us;</w:t>
      </w:r>
    </w:p>
    <w:p>
      <w:pPr>
        <w:spacing w:after="60"/>
        <w:ind w:left="720" w:hanging="360"/>
      </w:pPr>
      <w:r>
        <w:rPr>
          <w:rFonts w:ascii="Times New Roman" w:hAnsi="Times New Roman" w:cs="Times New Roman"/>
        </w:rPr>
        <w:t xml:space="preserve">•	</w:t>
      </w:r>
      <w:r>
        <w:rPr>
          <w:rFonts w:ascii="Times New Roman" w:hAnsi="Times New Roman" w:cs="Times New Roman"/>
        </w:rPr>
        <w:t xml:space="preserve">not degrade the Services for other users;</w:t>
      </w:r>
    </w:p>
    <w:p>
      <w:pPr>
        <w:spacing w:after="60"/>
        <w:ind w:left="720" w:hanging="360"/>
      </w:pPr>
      <w:r>
        <w:rPr>
          <w:rFonts w:ascii="Times New Roman" w:hAnsi="Times New Roman" w:cs="Times New Roman"/>
        </w:rPr>
        <w:t xml:space="preserve">•	</w:t>
      </w:r>
      <w:r>
        <w:rPr>
          <w:rFonts w:ascii="Times New Roman" w:hAnsi="Times New Roman" w:cs="Times New Roman"/>
        </w:rPr>
        <w:t xml:space="preserve">not use a vulnerability beyond what is needed to show that it exists;</w:t>
      </w:r>
    </w:p>
    <w:p>
      <w:pPr>
        <w:spacing w:after="60"/>
        <w:ind w:left="720" w:hanging="360"/>
      </w:pPr>
      <w:r>
        <w:rPr>
          <w:rFonts w:ascii="Times New Roman" w:hAnsi="Times New Roman" w:cs="Times New Roman"/>
        </w:rPr>
        <w:t xml:space="preserve">•	</w:t>
      </w:r>
      <w:r>
        <w:rPr>
          <w:rFonts w:ascii="Times New Roman" w:hAnsi="Times New Roman" w:cs="Times New Roman"/>
        </w:rPr>
        <w:t xml:space="preserve">not demand payment in return for not disclosing a vulnerability; and</w:t>
      </w:r>
    </w:p>
    <w:p>
      <w:pPr>
        <w:spacing w:after="60"/>
        <w:ind w:left="720" w:hanging="360"/>
      </w:pPr>
      <w:r>
        <w:rPr>
          <w:rFonts w:ascii="Times New Roman" w:hAnsi="Times New Roman" w:cs="Times New Roman"/>
        </w:rPr>
        <w:t xml:space="preserve">•	</w:t>
      </w:r>
      <w:r>
        <w:rPr>
          <w:rFonts w:ascii="Times New Roman" w:hAnsi="Times New Roman" w:cs="Times New Roman"/>
        </w:rPr>
        <w:t xml:space="preserve">keep the details confidential until the earlier of </w:t>
      </w:r>
      <w:r>
        <w:rPr>
          <w:rFonts w:ascii="Consolas" w:hAnsi="Consolas" w:cs="Times New Roman"/>
        </w:rPr>
        <w:t xml:space="preserve">[OPEN: 30]</w:t>
      </w:r>
      <w:r>
        <w:rPr>
          <w:rFonts w:ascii="Times New Roman" w:hAnsi="Times New Roman" w:cs="Times New Roman"/>
        </w:rPr>
        <w:t xml:space="preserve"> days after we release a fix and </w:t>
      </w:r>
      <w:r>
        <w:rPr>
          <w:rFonts w:ascii="Consolas" w:hAnsi="Consolas" w:cs="Times New Roman"/>
        </w:rPr>
        <w:t xml:space="preserve">[OPEN: 90]</w:t>
      </w:r>
      <w:r>
        <w:rPr>
          <w:rFonts w:ascii="Times New Roman" w:hAnsi="Times New Roman" w:cs="Times New Roman"/>
        </w:rPr>
        <w:t xml:space="preserve"> days after your report, unless we agree another date in writing.</w:t>
      </w:r>
    </w:p>
    <w:p>
      <w:pPr>
        <w:jc w:val="both"/>
      </w:pPr>
      <w:r>
        <w:rPr>
          <w:rFonts w:ascii="Times New Roman" w:hAnsi="Times New Roman" w:cs="Times New Roman"/>
        </w:rPr>
        <w:t xml:space="preserve">Nothing in this policy prevents you from reporting a vulnerability to a national computer security incident response team (CSIRT), ENISA or another competent authority.</w:t>
      </w:r>
    </w:p>
    <w:p>
      <w:pPr>
        <w:pStyle w:val="Heading2"/>
        <w:keepNext/>
      </w:pPr>
      <w:r>
        <w:rPr>
          <w:rFonts w:ascii="Times New Roman" w:hAnsi="Times New Roman" w:cs="Times New Roman"/>
        </w:rPr>
        <w:t xml:space="preserve">5. Our commitments to you</w:t>
      </w:r>
    </w:p>
    <w:p>
      <w:pPr>
        <w:jc w:val="both"/>
      </w:pPr>
      <w:r>
        <w:rPr>
          <w:rFonts w:ascii="Consolas" w:hAnsi="Consolas" w:cs="Times New Roman"/>
        </w:rPr>
        <w:t xml:space="preserve">[COUNSEL: scope and wording — CFAA-aware counsel]</w:t>
      </w:r>
    </w:p>
    <w:p>
      <w:pPr>
        <w:jc w:val="both"/>
      </w:pPr>
      <w:r>
        <w:rPr>
          <w:rFonts w:ascii="Times New Roman" w:hAnsi="Times New Roman" w:cs="Times New Roman"/>
        </w:rPr>
        <w:t xml:space="preserve">If you comply with this policy:</w:t>
      </w:r>
    </w:p>
    <w:p>
      <w:pPr>
        <w:spacing w:after="60"/>
        <w:ind w:left="720" w:hanging="360"/>
      </w:pPr>
      <w:r>
        <w:rPr>
          <w:rFonts w:ascii="Times New Roman" w:hAnsi="Times New Roman" w:cs="Times New Roman"/>
        </w:rPr>
        <w:t xml:space="preserve">•	</w:t>
      </w:r>
      <w:r>
        <w:rPr>
          <w:rFonts w:ascii="Times New Roman" w:hAnsi="Times New Roman" w:cs="Times New Roman"/>
        </w:rPr>
        <w:t xml:space="preserve">we will not bring a civil claim against you under the U.S. Computer Fraud and Abuse Act, state computer-crime laws, 17 U.S.C. §1201 or our Terms of Service for research that complies with this policy;</w:t>
      </w:r>
    </w:p>
    <w:p>
      <w:pPr>
        <w:spacing w:after="60"/>
        <w:ind w:left="720" w:hanging="360"/>
      </w:pPr>
      <w:r>
        <w:rPr>
          <w:rFonts w:ascii="Times New Roman" w:hAnsi="Times New Roman" w:cs="Times New Roman"/>
        </w:rPr>
        <w:t xml:space="preserve">•	</w:t>
      </w:r>
      <w:r>
        <w:rPr>
          <w:rFonts w:ascii="Times New Roman" w:hAnsi="Times New Roman" w:cs="Times New Roman"/>
        </w:rPr>
        <w:t xml:space="preserve">for that research, we waive the restrictions in Section 6.2 of our Terms of Service and items 6, 7 and 13 of Section 1 of our Acceptable Use Policy; and</w:t>
      </w:r>
    </w:p>
    <w:p>
      <w:pPr>
        <w:spacing w:after="60"/>
        <w:ind w:left="720" w:hanging="360"/>
      </w:pPr>
      <w:r>
        <w:rPr>
          <w:rFonts w:ascii="Times New Roman" w:hAnsi="Times New Roman" w:cs="Times New Roman"/>
        </w:rPr>
        <w:t xml:space="preserve">•	</w:t>
      </w:r>
      <w:r>
        <w:rPr>
          <w:rFonts w:ascii="Times New Roman" w:hAnsi="Times New Roman" w:cs="Times New Roman"/>
        </w:rPr>
        <w:t xml:space="preserve">we will not report that research to law-enforcement authorities as a crime.</w:t>
      </w:r>
    </w:p>
    <w:p>
      <w:pPr>
        <w:jc w:val="both"/>
      </w:pPr>
      <w:r>
        <w:rPr>
          <w:rFonts w:ascii="Times New Roman" w:hAnsi="Times New Roman" w:cs="Times New Roman"/>
        </w:rPr>
        <w:t xml:space="preserve">These commitments do not apply if you access, keep or disclose other users' data beyond what Section 4 allows, demand payment, disrupt the Services, or disclose before the date in Section 4. They do not limit any notification the law requires us to make about a vulnerability, an incident or a personal-data breach. They bind only HidzoVPN, Inc.; they do not bind any government authority or any other person, and they cannot authorize testing of systems that others own or operate. Our authorization does not cover the laws of the country where you, or the server you test, are located.</w:t>
      </w:r>
    </w:p>
    <w:p>
      <w:pPr>
        <w:pStyle w:val="Heading2"/>
        <w:keepNext/>
      </w:pPr>
      <w:r>
        <w:rPr>
          <w:rFonts w:ascii="Times New Roman" w:hAnsi="Times New Roman" w:cs="Times New Roman"/>
        </w:rPr>
        <w:t xml:space="preserve">6. Legal notifications and your information</w:t>
      </w:r>
    </w:p>
    <w:p>
      <w:pPr>
        <w:jc w:val="both"/>
      </w:pPr>
      <w:r>
        <w:rPr>
          <w:rFonts w:ascii="Times New Roman" w:hAnsi="Times New Roman" w:cs="Times New Roman"/>
        </w:rPr>
        <w:t xml:space="preserve">If a vulnerability is being actively exploited, the law may require us to notify the competent CSIRT and ENISA and to inform users. We will not name you in those notices unless the law requires it or you agree </w:t>
      </w:r>
      <w:r>
        <w:rPr>
          <w:rFonts w:ascii="Consolas" w:hAnsi="Consolas" w:cs="Times New Roman"/>
        </w:rPr>
        <w:t xml:space="preserve">[COUNSEL]</w:t>
      </w:r>
      <w:r>
        <w:rPr>
          <w:rFonts w:ascii="Times New Roman" w:hAnsi="Times New Roman" w:cs="Times New Roman"/>
        </w:rPr>
        <w:t xml:space="preserve">. We may be unable to engage with, credit or reward people who are located in sanctioned countries or appear on sanctions lists </w:t>
      </w:r>
      <w:r>
        <w:rPr>
          <w:rFonts w:ascii="Consolas" w:hAnsi="Consolas" w:cs="Times New Roman"/>
        </w:rPr>
        <w:t xml:space="preserve">[COUNSEL: OFAC]</w:t>
      </w:r>
      <w:r>
        <w:rPr>
          <w:rFonts w:ascii="Times New Roman" w:hAnsi="Times New Roman" w:cs="Times New Roman"/>
        </w:rPr>
        <w:t xml:space="preserve">. We process your contact details as described in our Privacy Policy </w:t>
      </w:r>
      <w:r>
        <w:rPr>
          <w:rFonts w:ascii="Consolas" w:hAnsi="Consolas" w:cs="Times New Roman"/>
        </w:rPr>
        <w:t xml:space="preserve">[OPEN: link; confirm the Privacy Policy covers researcher data]</w:t>
      </w:r>
      <w:r>
        <w:rPr>
          <w:rFonts w:ascii="Times New Roman" w:hAnsi="Times New Roman" w:cs="Times New Roman"/>
        </w:rPr>
        <w:t xml:space="preserve">.</w:t>
      </w:r>
    </w:p>
    <w:p>
      <w:pPr>
        <w:pStyle w:val="Heading2"/>
        <w:keepNext/>
      </w:pPr>
      <w:r>
        <w:rPr>
          <w:rFonts w:ascii="Times New Roman" w:hAnsi="Times New Roman" w:cs="Times New Roman"/>
        </w:rPr>
        <w:t xml:space="preserve">7. Changes</w:t>
      </w:r>
    </w:p>
    <w:p>
      <w:pPr>
        <w:jc w:val="both"/>
      </w:pPr>
      <w:r>
        <w:rPr>
          <w:rFonts w:ascii="Times New Roman" w:hAnsi="Times New Roman" w:cs="Times New Roman"/>
        </w:rPr>
        <w:t xml:space="preserve">We may update this policy. We will publish the new version with its effective date. Questions: </w:t>
      </w:r>
      <w:r>
        <w:rPr>
          <w:rFonts w:ascii="Consolas" w:hAnsi="Consolas" w:cs="Times New Roman"/>
        </w:rPr>
        <w:t xml:space="preserve">[OPEN: security@hidzovpn.com]</w:t>
      </w:r>
      <w:r>
        <w:rPr>
          <w:rFonts w:ascii="Times New Roman" w:hAnsi="Times New Roman" w:cs="Times New Roman"/>
        </w:rPr>
        <w:t xml:space="preserve">.</w:t>
      </w:r>
    </w:p>
    <w:p>
      <w:pPr>
        <w:pStyle w:val="Heading2"/>
        <w:keepNext/>
      </w:pPr>
      <w:r>
        <w:rPr>
          <w:rFonts w:ascii="Times New Roman" w:hAnsi="Times New Roman" w:cs="Times New Roman"/>
        </w:rPr>
        <w:t xml:space="preserve">Part C — Drafting notes (internal)</w:t>
      </w:r>
    </w:p>
    <w:p>
      <w:pPr>
        <w:pStyle w:val="Heading3"/>
        <w:keepNext/>
      </w:pPr>
      <w:r>
        <w:rPr>
          <w:rFonts w:ascii="Times New Roman" w:hAnsi="Times New Roman" w:cs="Times New Roman"/>
        </w:rPr>
        <w:t xml:space="preserve">C.1 Sources</w:t>
      </w:r>
    </w:p>
    <w:tbl>
      <w:tblPr>
        <w:tblStyle w:val="TableGrid"/>
        <w:tblW w:w="936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Pr>
      <w:tblGrid>
        <w:gridCol w:w="3120"/>
        <w:gridCol w:w="3120"/>
        <w:gridCol w:w="3120"/>
      </w:tblGrid>
      <w:tr>
        <w:trPr>
          <w:tblHeader/>
          <w:cantSplit/>
        </w:trPr>
        <w:tc>
          <w:tcPr>
            <w:tcW w:w="3120" w:type="dxa"/>
            <w:shd w:val="clear" w:color="auto" w:fill="D9D9D9"/>
          </w:tcPr>
          <w:p>
            <w:pPr>
              <w:spacing w:after="40"/>
            </w:pPr>
            <w:r>
              <w:rPr>
                <w:rFonts w:ascii="Times New Roman" w:hAnsi="Times New Roman" w:cs="Times New Roman"/>
                <w:b/>
                <w:bCs/>
                <w:sz w:val="17"/>
                <w:szCs w:val="17"/>
              </w:rPr>
              <w:t xml:space="preserve">Element</w:t>
            </w:r>
          </w:p>
        </w:tc>
        <w:tc>
          <w:tcPr>
            <w:tcW w:w="3120" w:type="dxa"/>
            <w:shd w:val="clear" w:color="auto" w:fill="D9D9D9"/>
          </w:tcPr>
          <w:p>
            <w:pPr>
              <w:spacing w:after="40"/>
            </w:pPr>
            <w:r>
              <w:rPr>
                <w:rFonts w:ascii="Times New Roman" w:hAnsi="Times New Roman" w:cs="Times New Roman"/>
                <w:b/>
                <w:bCs/>
                <w:sz w:val="17"/>
                <w:szCs w:val="17"/>
              </w:rPr>
              <w:t xml:space="preserve">Basis</w:t>
            </w:r>
          </w:p>
        </w:tc>
        <w:tc>
          <w:tcPr>
            <w:tcW w:w="3120" w:type="dxa"/>
            <w:shd w:val="clear" w:color="auto" w:fill="D9D9D9"/>
          </w:tcPr>
          <w:p>
            <w:pPr>
              <w:spacing w:after="40"/>
            </w:pPr>
            <w:r>
              <w:rPr>
                <w:rFonts w:ascii="Times New Roman" w:hAnsi="Times New Roman" w:cs="Times New Roman"/>
                <w:b/>
                <w:bCs/>
                <w:sz w:val="17"/>
                <w:szCs w:val="17"/>
              </w:rPr>
              <w:t xml:space="preserve">Label</w:t>
            </w:r>
          </w:p>
        </w:tc>
      </w:tr>
      <w:tr>
        <w:trPr>
          <w:cantSplit/>
        </w:trPr>
        <w:tc>
          <w:tcPr>
            <w:tcW w:w="3120" w:type="dxa"/>
          </w:tcPr>
          <w:p>
            <w:pPr>
              <w:spacing w:after="40"/>
            </w:pPr>
            <w:r>
              <w:rPr>
                <w:rFonts w:ascii="Times New Roman" w:hAnsi="Times New Roman" w:cs="Times New Roman"/>
                <w:sz w:val="17"/>
                <w:szCs w:val="17"/>
              </w:rPr>
              <w:t xml:space="preserve">Reporting of actively exploited vulnerabilities and severe incidents (applies now)</w:t>
            </w:r>
          </w:p>
        </w:tc>
        <w:tc>
          <w:tcPr>
            <w:tcW w:w="3120" w:type="dxa"/>
          </w:tcPr>
          <w:p>
            <w:pPr>
              <w:spacing w:after="40"/>
            </w:pPr>
            <w:r>
              <w:rPr>
                <w:rFonts w:ascii="Times New Roman" w:hAnsi="Times New Roman" w:cs="Times New Roman"/>
                <w:sz w:val="17"/>
                <w:szCs w:val="17"/>
              </w:rPr>
              <w:t xml:space="preserve">Regulation (EU) 2024/2847 Art. 14; Art. 71(2)</w:t>
            </w:r>
          </w:p>
        </w:tc>
        <w:tc>
          <w:tcPr>
            <w:tcW w:w="3120" w:type="dxa"/>
          </w:tcPr>
          <w:p>
            <w:pPr>
              <w:spacing w:after="40"/>
            </w:pPr>
            <w:r>
              <w:rPr>
                <w:rFonts w:ascii="Times New Roman" w:hAnsi="Times New Roman" w:cs="Times New Roman"/>
                <w:sz w:val="17"/>
                <w:szCs w:val="17"/>
              </w:rPr>
              <w:t xml:space="preserve">Reported (EV-224) </w:t>
            </w:r>
            <w:r>
              <w:rPr>
                <w:rFonts w:ascii="Consolas" w:hAnsi="Consolas" w:cs="Times New Roman"/>
                <w:sz w:val="17"/>
                <w:szCs w:val="17"/>
              </w:rPr>
              <w:t xml:space="preserve">[VERIFY]</w:t>
            </w:r>
          </w:p>
        </w:tc>
      </w:tr>
      <w:tr>
        <w:trPr>
          <w:cantSplit/>
        </w:trPr>
        <w:tc>
          <w:tcPr>
            <w:tcW w:w="3120" w:type="dxa"/>
          </w:tcPr>
          <w:p>
            <w:pPr>
              <w:spacing w:after="40"/>
            </w:pPr>
            <w:r>
              <w:rPr>
                <w:rFonts w:ascii="Times New Roman" w:hAnsi="Times New Roman" w:cs="Times New Roman"/>
                <w:sz w:val="17"/>
                <w:szCs w:val="17"/>
              </w:rPr>
              <w:t xml:space="preserve">Single point of contact; coordinated disclosure policy; user information (from 11 Dec 2027)</w:t>
            </w:r>
          </w:p>
        </w:tc>
        <w:tc>
          <w:tcPr>
            <w:tcW w:w="3120" w:type="dxa"/>
          </w:tcPr>
          <w:p>
            <w:pPr>
              <w:spacing w:after="40"/>
            </w:pPr>
            <w:r>
              <w:rPr>
                <w:rFonts w:ascii="Times New Roman" w:hAnsi="Times New Roman" w:cs="Times New Roman"/>
                <w:sz w:val="17"/>
                <w:szCs w:val="17"/>
              </w:rPr>
              <w:t xml:space="preserve">Regulation (EU) 2024/2847 Art. 13(17); Annex I Part II points 5–6; Annex II</w:t>
            </w:r>
          </w:p>
        </w:tc>
        <w:tc>
          <w:tcPr>
            <w:tcW w:w="3120" w:type="dxa"/>
          </w:tcPr>
          <w:p>
            <w:pPr>
              <w:spacing w:after="40"/>
            </w:pPr>
            <w:r>
              <w:rPr>
                <w:rFonts w:ascii="Times New Roman" w:hAnsi="Times New Roman" w:cs="Times New Roman"/>
                <w:sz w:val="17"/>
                <w:szCs w:val="17"/>
              </w:rPr>
              <w:t xml:space="preserve">Reported </w:t>
            </w:r>
            <w:r>
              <w:rPr>
                <w:rFonts w:ascii="Consolas" w:hAnsi="Consolas" w:cs="Times New Roman"/>
                <w:sz w:val="17"/>
                <w:szCs w:val="17"/>
              </w:rPr>
              <w:t xml:space="preserve">[VERIFY: Art. 71(2)]</w:t>
            </w:r>
          </w:p>
        </w:tc>
      </w:tr>
      <w:tr>
        <w:trPr>
          <w:cantSplit/>
        </w:trPr>
        <w:tc>
          <w:tcPr>
            <w:tcW w:w="3120" w:type="dxa"/>
          </w:tcPr>
          <w:p>
            <w:pPr>
              <w:spacing w:after="40"/>
            </w:pPr>
            <w:r>
              <w:rPr>
                <w:rFonts w:ascii="Times New Roman" w:hAnsi="Times New Roman" w:cs="Times New Roman"/>
                <w:sz w:val="17"/>
                <w:szCs w:val="17"/>
              </w:rPr>
              <w:t xml:space="preserve">Voluntary reporting by researchers</w:t>
            </w:r>
          </w:p>
        </w:tc>
        <w:tc>
          <w:tcPr>
            <w:tcW w:w="3120" w:type="dxa"/>
          </w:tcPr>
          <w:p>
            <w:pPr>
              <w:spacing w:after="40"/>
            </w:pPr>
            <w:r>
              <w:rPr>
                <w:rFonts w:ascii="Times New Roman" w:hAnsi="Times New Roman" w:cs="Times New Roman"/>
                <w:sz w:val="17"/>
                <w:szCs w:val="17"/>
              </w:rPr>
              <w:t xml:space="preserve">Regulation (EU) 2024/2847 Art. 15</w:t>
            </w:r>
          </w:p>
        </w:tc>
        <w:tc>
          <w:tcPr>
            <w:tcW w:w="3120" w:type="dxa"/>
          </w:tcPr>
          <w:p>
            <w:pPr>
              <w:spacing w:after="40"/>
            </w:pPr>
            <w:r>
              <w:rPr>
                <w:rFonts w:ascii="Consolas" w:hAnsi="Consolas" w:cs="Times New Roman"/>
                <w:sz w:val="17"/>
                <w:szCs w:val="17"/>
              </w:rPr>
              <w:t xml:space="preserve">[VERIFY]</w:t>
            </w:r>
          </w:p>
        </w:tc>
      </w:tr>
      <w:tr>
        <w:trPr>
          <w:cantSplit/>
        </w:trPr>
        <w:tc>
          <w:tcPr>
            <w:tcW w:w="3120" w:type="dxa"/>
          </w:tcPr>
          <w:p>
            <w:pPr>
              <w:spacing w:after="40"/>
            </w:pPr>
            <w:r>
              <w:rPr>
                <w:rFonts w:ascii="Times New Roman" w:hAnsi="Times New Roman" w:cs="Times New Roman"/>
                <w:sz w:val="17"/>
                <w:szCs w:val="17"/>
              </w:rPr>
              <w:t xml:space="preserve">security.txt</w:t>
            </w:r>
          </w:p>
        </w:tc>
        <w:tc>
          <w:tcPr>
            <w:tcW w:w="3120" w:type="dxa"/>
          </w:tcPr>
          <w:p>
            <w:pPr>
              <w:spacing w:after="40"/>
            </w:pPr>
            <w:r>
              <w:rPr>
                <w:rFonts w:ascii="Times New Roman" w:hAnsi="Times New Roman" w:cs="Times New Roman"/>
                <w:sz w:val="17"/>
                <w:szCs w:val="17"/>
              </w:rPr>
              <w:t xml:space="preserve">RFC 9116</w:t>
            </w:r>
          </w:p>
        </w:tc>
        <w:tc>
          <w:tcPr>
            <w:tcW w:w="3120" w:type="dxa"/>
          </w:tcPr>
          <w:p>
            <w:pPr>
              <w:spacing w:after="40"/>
            </w:pPr>
            <w:r>
              <w:rPr>
                <w:rFonts w:ascii="Times New Roman" w:hAnsi="Times New Roman" w:cs="Times New Roman"/>
                <w:sz w:val="17"/>
                <w:szCs w:val="17"/>
              </w:rPr>
              <w:t xml:space="preserve">Reported (EV-231)</w:t>
            </w:r>
          </w:p>
        </w:tc>
      </w:tr>
      <w:tr>
        <w:trPr>
          <w:cantSplit/>
        </w:trPr>
        <w:tc>
          <w:tcPr>
            <w:tcW w:w="3120" w:type="dxa"/>
          </w:tcPr>
          <w:p>
            <w:pPr>
              <w:spacing w:after="40"/>
            </w:pPr>
            <w:r>
              <w:rPr>
                <w:rFonts w:ascii="Times New Roman" w:hAnsi="Times New Roman" w:cs="Times New Roman"/>
                <w:sz w:val="17"/>
                <w:szCs w:val="17"/>
              </w:rPr>
              <w:t xml:space="preserve">Safe-harbour model</w:t>
            </w:r>
          </w:p>
        </w:tc>
        <w:tc>
          <w:tcPr>
            <w:tcW w:w="3120" w:type="dxa"/>
          </w:tcPr>
          <w:p>
            <w:pPr>
              <w:spacing w:after="40"/>
            </w:pPr>
            <w:r>
              <w:rPr>
                <w:rFonts w:ascii="Times New Roman" w:hAnsi="Times New Roman" w:cs="Times New Roman"/>
                <w:sz w:val="17"/>
                <w:szCs w:val="17"/>
              </w:rPr>
              <w:t xml:space="preserve">CISA BOD 20-01 and VDP template</w:t>
            </w:r>
          </w:p>
        </w:tc>
        <w:tc>
          <w:tcPr>
            <w:tcW w:w="3120" w:type="dxa"/>
          </w:tcPr>
          <w:p>
            <w:pPr>
              <w:spacing w:after="40"/>
            </w:pPr>
            <w:r>
              <w:rPr>
                <w:rFonts w:ascii="Times New Roman" w:hAnsi="Times New Roman" w:cs="Times New Roman"/>
                <w:sz w:val="17"/>
                <w:szCs w:val="17"/>
              </w:rPr>
              <w:t xml:space="preserve">Verified (B) (EV-243) — written for federal agencies; adapted because agency text is unsuitable for a private company's contractual promise</w:t>
            </w:r>
          </w:p>
        </w:tc>
      </w:tr>
      <w:tr>
        <w:trPr>
          <w:cantSplit/>
        </w:trPr>
        <w:tc>
          <w:tcPr>
            <w:tcW w:w="3120" w:type="dxa"/>
          </w:tcPr>
          <w:p>
            <w:pPr>
              <w:spacing w:after="40"/>
            </w:pPr>
            <w:r>
              <w:rPr>
                <w:rFonts w:ascii="Times New Roman" w:hAnsi="Times New Roman" w:cs="Times New Roman"/>
                <w:sz w:val="17"/>
                <w:szCs w:val="17"/>
              </w:rPr>
              <w:t xml:space="preserve">Industry standard (not law)</w:t>
            </w:r>
          </w:p>
        </w:tc>
        <w:tc>
          <w:tcPr>
            <w:tcW w:w="3120" w:type="dxa"/>
          </w:tcPr>
          <w:p>
            <w:pPr>
              <w:spacing w:after="40"/>
            </w:pPr>
            <w:r>
              <w:rPr>
                <w:rFonts w:ascii="Times New Roman" w:hAnsi="Times New Roman" w:cs="Times New Roman"/>
                <w:sz w:val="17"/>
                <w:szCs w:val="17"/>
              </w:rPr>
              <w:t xml:space="preserve">ISO/IEC 29147:2018 (Edition 2; revision under development)</w:t>
            </w:r>
          </w:p>
        </w:tc>
        <w:tc>
          <w:tcPr>
            <w:tcW w:w="3120" w:type="dxa"/>
          </w:tcPr>
          <w:p>
            <w:pPr>
              <w:spacing w:after="40"/>
            </w:pPr>
            <w:r>
              <w:rPr>
                <w:rFonts w:ascii="Times New Roman" w:hAnsi="Times New Roman" w:cs="Times New Roman"/>
                <w:sz w:val="17"/>
                <w:szCs w:val="17"/>
              </w:rPr>
              <w:t xml:space="preserve">Verified (B) (EV-242)</w:t>
            </w:r>
          </w:p>
        </w:tc>
      </w:tr>
      <w:tr>
        <w:trPr>
          <w:cantSplit/>
        </w:trPr>
        <w:tc>
          <w:tcPr>
            <w:tcW w:w="3120" w:type="dxa"/>
          </w:tcPr>
          <w:p>
            <w:pPr>
              <w:spacing w:after="40"/>
            </w:pPr>
            <w:r>
              <w:rPr>
                <w:rFonts w:ascii="Times New Roman" w:hAnsi="Times New Roman" w:cs="Times New Roman"/>
                <w:sz w:val="17"/>
                <w:szCs w:val="17"/>
              </w:rPr>
              <w:t xml:space="preserve">DOJ charging policy for good-faith research</w:t>
            </w:r>
          </w:p>
        </w:tc>
        <w:tc>
          <w:tcPr>
            <w:tcW w:w="3120" w:type="dxa"/>
          </w:tcPr>
          <w:p>
            <w:pPr>
              <w:spacing w:after="40"/>
            </w:pPr>
            <w:r>
              <w:rPr>
                <w:rFonts w:ascii="Times New Roman" w:hAnsi="Times New Roman" w:cs="Times New Roman"/>
                <w:sz w:val="17"/>
                <w:szCs w:val="17"/>
              </w:rPr>
              <w:t xml:space="preserve">Justice Manual 9-48.000 (updated May 2022): prosecutors "should decline" good-faith security research; creates no enforceable rights — so the VDP must not suggest DOJ protection</w:t>
            </w:r>
          </w:p>
        </w:tc>
        <w:tc>
          <w:tcPr>
            <w:tcW w:w="3120" w:type="dxa"/>
          </w:tcPr>
          <w:p>
            <w:pPr>
              <w:spacing w:after="40"/>
            </w:pPr>
            <w:r>
              <w:rPr>
                <w:rFonts w:ascii="Times New Roman" w:hAnsi="Times New Roman" w:cs="Times New Roman"/>
                <w:sz w:val="17"/>
                <w:szCs w:val="17"/>
              </w:rPr>
              <w:t xml:space="preserve">Verified (B), archived official copy; live page not reachable (EV-238)</w:t>
            </w:r>
          </w:p>
        </w:tc>
      </w:tr>
      <w:tr>
        <w:trPr>
          <w:cantSplit/>
        </w:trPr>
        <w:tc>
          <w:tcPr>
            <w:tcW w:w="3120" w:type="dxa"/>
          </w:tcPr>
          <w:p>
            <w:pPr>
              <w:spacing w:after="40"/>
            </w:pPr>
            <w:r>
              <w:rPr>
                <w:rFonts w:ascii="Times New Roman" w:hAnsi="Times New Roman" w:cs="Times New Roman"/>
                <w:sz w:val="17"/>
                <w:szCs w:val="17"/>
              </w:rPr>
              <w:t xml:space="preserve">Anti-circumvention exemption</w:t>
            </w:r>
          </w:p>
        </w:tc>
        <w:tc>
          <w:tcPr>
            <w:tcW w:w="3120" w:type="dxa"/>
          </w:tcPr>
          <w:p>
            <w:pPr>
              <w:spacing w:after="40"/>
            </w:pPr>
            <w:r>
              <w:rPr>
                <w:rFonts w:ascii="Times New Roman" w:hAnsi="Times New Roman" w:cs="Times New Roman"/>
                <w:sz w:val="17"/>
                <w:szCs w:val="17"/>
              </w:rPr>
              <w:t xml:space="preserve">37 C.F.R. §201.40(b)(18) (89 FR 85446, 28 Oct 2024) — expressly "not a safe harbor from, or defense to" other laws incl. the CFAA; 17 U.S.C. §1201(j) requires the owner's authorisation; re-check after the tenth triennial rule (expected Oct 2027)</w:t>
            </w:r>
          </w:p>
        </w:tc>
        <w:tc>
          <w:tcPr>
            <w:tcW w:w="3120" w:type="dxa"/>
          </w:tcPr>
          <w:p>
            <w:pPr>
              <w:spacing w:after="40"/>
            </w:pPr>
            <w:r>
              <w:rPr>
                <w:rFonts w:ascii="Times New Roman" w:hAnsi="Times New Roman" w:cs="Times New Roman"/>
                <w:sz w:val="17"/>
                <w:szCs w:val="17"/>
              </w:rPr>
              <w:t xml:space="preserve">§201.40 Verified (A) (EV-239, EV-240); §1201(j) Reported (mirror, EV-241)</w:t>
            </w:r>
          </w:p>
        </w:tc>
      </w:tr>
      <w:tr>
        <w:trPr>
          <w:cantSplit/>
        </w:trPr>
        <w:tc>
          <w:tcPr>
            <w:tcW w:w="3120" w:type="dxa"/>
          </w:tcPr>
          <w:p>
            <w:pPr>
              <w:spacing w:after="40"/>
            </w:pPr>
            <w:r>
              <w:rPr>
                <w:rFonts w:ascii="Times New Roman" w:hAnsi="Times New Roman" w:cs="Times New Roman"/>
                <w:sz w:val="17"/>
                <w:szCs w:val="17"/>
              </w:rPr>
              <w:t xml:space="preserve">Interception</w:t>
            </w:r>
          </w:p>
        </w:tc>
        <w:tc>
          <w:tcPr>
            <w:tcW w:w="3120" w:type="dxa"/>
          </w:tcPr>
          <w:p>
            <w:pPr>
              <w:spacing w:after="40"/>
            </w:pPr>
            <w:r>
              <w:rPr>
                <w:rFonts w:ascii="Times New Roman" w:hAnsi="Times New Roman" w:cs="Times New Roman"/>
                <w:sz w:val="17"/>
                <w:szCs w:val="17"/>
              </w:rPr>
              <w:t xml:space="preserve">Wiretap Act, 18 U.S.C. §2511</w:t>
            </w:r>
          </w:p>
        </w:tc>
        <w:tc>
          <w:tcPr>
            <w:tcW w:w="3120" w:type="dxa"/>
          </w:tcPr>
          <w:p>
            <w:pPr>
              <w:spacing w:after="40"/>
            </w:pPr>
            <w:r>
              <w:rPr>
                <w:rFonts w:ascii="Consolas" w:hAnsi="Consolas" w:cs="Times New Roman"/>
                <w:sz w:val="17"/>
                <w:szCs w:val="17"/>
              </w:rPr>
              <w:t xml:space="preserve">[VERIFY]</w:t>
            </w:r>
          </w:p>
        </w:tc>
      </w:tr>
      <w:tr>
        <w:trPr>
          <w:cantSplit/>
        </w:trPr>
        <w:tc>
          <w:tcPr>
            <w:tcW w:w="3120" w:type="dxa"/>
          </w:tcPr>
          <w:p>
            <w:pPr>
              <w:spacing w:after="40"/>
            </w:pPr>
            <w:r>
              <w:rPr>
                <w:rFonts w:ascii="Times New Roman" w:hAnsi="Times New Roman" w:cs="Times New Roman"/>
                <w:sz w:val="17"/>
                <w:szCs w:val="17"/>
              </w:rPr>
              <w:t xml:space="preserve">Sanctions (import of services from Iran)</w:t>
            </w:r>
          </w:p>
        </w:tc>
        <w:tc>
          <w:tcPr>
            <w:tcW w:w="3120" w:type="dxa"/>
          </w:tcPr>
          <w:p>
            <w:pPr>
              <w:spacing w:after="40"/>
            </w:pPr>
            <w:r>
              <w:rPr>
                <w:rFonts w:ascii="Times New Roman" w:hAnsi="Times New Roman" w:cs="Times New Roman"/>
                <w:sz w:val="17"/>
                <w:szCs w:val="17"/>
              </w:rPr>
              <w:t xml:space="preserve">31 C.F.R. §560.201</w:t>
            </w:r>
          </w:p>
        </w:tc>
        <w:tc>
          <w:tcPr>
            <w:tcW w:w="3120" w:type="dxa"/>
          </w:tcPr>
          <w:p>
            <w:pPr>
              <w:spacing w:after="40"/>
            </w:pPr>
            <w:r>
              <w:rPr>
                <w:rFonts w:ascii="Consolas" w:hAnsi="Consolas" w:cs="Times New Roman"/>
                <w:sz w:val="17"/>
                <w:szCs w:val="17"/>
              </w:rPr>
              <w:t xml:space="preserve">[VERIFY]</w:t>
            </w:r>
            <w:r>
              <w:rPr>
                <w:rFonts w:ascii="Times New Roman" w:hAnsi="Times New Roman" w:cs="Times New Roman"/>
                <w:sz w:val="17"/>
                <w:szCs w:val="17"/>
              </w:rPr>
              <w:t xml:space="preserve">; </w:t>
            </w:r>
            <w:r>
              <w:rPr>
                <w:rFonts w:ascii="Consolas" w:hAnsi="Consolas" w:cs="Times New Roman"/>
                <w:sz w:val="17"/>
                <w:szCs w:val="17"/>
              </w:rPr>
              <w:t xml:space="preserve">[COUNSEL: OFAC]</w:t>
            </w:r>
          </w:p>
        </w:tc>
      </w:tr>
    </w:tbl>
    <w:p>
      <w:pPr>
        <w:spacing w:after="60"/>
      </w:pPr>
    </w:p>
    <w:p>
      <w:pPr>
        <w:pStyle w:val="Heading3"/>
        <w:keepNext/>
      </w:pPr>
      <w:r>
        <w:rPr>
          <w:rFonts w:ascii="Times New Roman" w:hAnsi="Times New Roman" w:cs="Times New Roman"/>
        </w:rPr>
        <w:t xml:space="preserve">C.2 Conforming edits required</w:t>
      </w:r>
    </w:p>
    <w:p>
      <w:pPr>
        <w:jc w:val="both"/>
      </w:pPr>
      <w:r>
        <w:rPr>
          <w:rFonts w:ascii="Times New Roman" w:hAnsi="Times New Roman" w:cs="Times New Roman"/>
        </w:rPr>
        <w:t xml:space="preserve">ToS §6.2 and AUP §1 add "except as permitted by our Vulnerability Disclosure Policy". Privacy Policy covers researcher correspondence.</w:t>
      </w:r>
    </w:p>
    <w:p>
      <w:pPr>
        <w:pStyle w:val="Heading3"/>
        <w:keepNext/>
      </w:pPr>
      <w:r>
        <w:rPr>
          <w:rFonts w:ascii="Times New Roman" w:hAnsi="Times New Roman" w:cs="Times New Roman"/>
        </w:rPr>
        <w:t xml:space="preserve">C.3 Limits of this analysis</w:t>
      </w:r>
    </w:p>
    <w:p>
      <w:pPr>
        <w:jc w:val="both"/>
      </w:pPr>
      <w:r>
        <w:rPr>
          <w:rFonts w:ascii="Times New Roman" w:hAnsi="Times New Roman" w:cs="Times New Roman"/>
        </w:rPr>
        <w:t xml:space="preserve">(a) Not reviewed: Florida Computer Abuse and Data Recovery Act and ch. 815; UK Computer Misuse Act 1990; EU member-state criminal law; GDPR for researcher data. (b) Not opened: CRA text (EUR-Lex); DOJ Justice Manual; §1201 exemption. (c) Facts unknown: mailbox, owner, asset list, server countries (RSK-030), hosting-contract holders (RSK-036). (d) Counsel required: CFAA-aware security counsel; OFAC; EU counsel (CRA).</w:t>
      </w:r>
    </w:p>
    <w:p>
      <w:pPr>
        <w:pStyle w:val="Heading3"/>
        <w:keepNext/>
      </w:pPr>
      <w:r>
        <w:rPr>
          <w:rFonts w:ascii="Times New Roman" w:hAnsi="Times New Roman" w:cs="Times New Roman"/>
        </w:rPr>
        <w:t xml:space="preserve">C.4 Review log</w:t>
      </w:r>
    </w:p>
    <w:tbl>
      <w:tblPr>
        <w:tblStyle w:val="TableGrid"/>
        <w:tblW w:w="936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Pr>
      <w:tblGrid>
        <w:gridCol w:w="2340"/>
        <w:gridCol w:w="2340"/>
        <w:gridCol w:w="2340"/>
        <w:gridCol w:w="2340"/>
      </w:tblGrid>
      <w:tr>
        <w:trPr>
          <w:tblHeader/>
          <w:cantSplit/>
        </w:trPr>
        <w:tc>
          <w:tcPr>
            <w:tcW w:w="2340" w:type="dxa"/>
            <w:shd w:val="clear" w:color="auto" w:fill="D9D9D9"/>
          </w:tcPr>
          <w:p>
            <w:pPr>
              <w:spacing w:after="40"/>
            </w:pPr>
            <w:r>
              <w:rPr>
                <w:rFonts w:ascii="Times New Roman" w:hAnsi="Times New Roman" w:cs="Times New Roman"/>
                <w:b/>
                <w:bCs/>
                <w:sz w:val="17"/>
                <w:szCs w:val="17"/>
              </w:rPr>
              <w:t xml:space="preserve">Date</w:t>
            </w:r>
          </w:p>
        </w:tc>
        <w:tc>
          <w:tcPr>
            <w:tcW w:w="2340" w:type="dxa"/>
            <w:shd w:val="clear" w:color="auto" w:fill="D9D9D9"/>
          </w:tcPr>
          <w:p>
            <w:pPr>
              <w:spacing w:after="40"/>
            </w:pPr>
            <w:r>
              <w:rPr>
                <w:rFonts w:ascii="Times New Roman" w:hAnsi="Times New Roman" w:cs="Times New Roman"/>
                <w:b/>
                <w:bCs/>
                <w:sz w:val="17"/>
                <w:szCs w:val="17"/>
              </w:rPr>
              <w:t xml:space="preserve">Reviewer</w:t>
            </w:r>
          </w:p>
        </w:tc>
        <w:tc>
          <w:tcPr>
            <w:tcW w:w="2340" w:type="dxa"/>
            <w:shd w:val="clear" w:color="auto" w:fill="D9D9D9"/>
          </w:tcPr>
          <w:p>
            <w:pPr>
              <w:spacing w:after="40"/>
            </w:pPr>
            <w:r>
              <w:rPr>
                <w:rFonts w:ascii="Times New Roman" w:hAnsi="Times New Roman" w:cs="Times New Roman"/>
                <w:b/>
                <w:bCs/>
                <w:sz w:val="17"/>
                <w:szCs w:val="17"/>
              </w:rPr>
              <w:t xml:space="preserve">Verdict</w:t>
            </w:r>
          </w:p>
        </w:tc>
        <w:tc>
          <w:tcPr>
            <w:tcW w:w="2340" w:type="dxa"/>
            <w:shd w:val="clear" w:color="auto" w:fill="D9D9D9"/>
          </w:tcPr>
          <w:p>
            <w:pPr>
              <w:spacing w:after="40"/>
            </w:pPr>
            <w:r>
              <w:rPr>
                <w:rFonts w:ascii="Times New Roman" w:hAnsi="Times New Roman" w:cs="Times New Roman"/>
                <w:b/>
                <w:bCs/>
                <w:sz w:val="17"/>
                <w:szCs w:val="17"/>
              </w:rPr>
              <w:t xml:space="preserve">Notes</w:t>
            </w:r>
          </w:p>
        </w:tc>
      </w:tr>
      <w:tr>
        <w:trPr>
          <w:cantSplit/>
        </w:trPr>
        <w:tc>
          <w:tcPr>
            <w:tcW w:w="2340" w:type="dxa"/>
          </w:tcPr>
          <w:p>
            <w:pPr>
              <w:spacing w:after="40"/>
            </w:pPr>
            <w:r>
              <w:rPr>
                <w:rFonts w:ascii="Times New Roman" w:hAnsi="Times New Roman" w:cs="Times New Roman"/>
                <w:sz w:val="17"/>
                <w:szCs w:val="17"/>
              </w:rPr>
              <w:t xml:space="preserve">2026-09-25</w:t>
            </w:r>
          </w:p>
        </w:tc>
        <w:tc>
          <w:tcPr>
            <w:tcW w:w="2340" w:type="dxa"/>
          </w:tcPr>
          <w:p>
            <w:pPr>
              <w:spacing w:after="40"/>
            </w:pPr>
            <w:r>
              <w:rPr>
                <w:rFonts w:ascii="Times New Roman" w:hAnsi="Times New Roman" w:cs="Times New Roman"/>
                <w:sz w:val="17"/>
                <w:szCs w:val="17"/>
              </w:rPr>
              <w:t xml:space="preserve">Drafted</w:t>
            </w:r>
          </w:p>
        </w:tc>
        <w:tc>
          <w:tcPr>
            <w:tcW w:w="2340" w:type="dxa"/>
          </w:tcPr>
          <w:p>
            <w:pPr>
              <w:spacing w:after="40"/>
            </w:pPr>
            <w:r>
              <w:rPr>
                <w:rFonts w:ascii="Times New Roman" w:hAnsi="Times New Roman" w:cs="Times New Roman"/>
                <w:sz w:val="17"/>
                <w:szCs w:val="17"/>
              </w:rPr>
              <w:t xml:space="preserve">—</w:t>
            </w:r>
          </w:p>
        </w:tc>
        <w:tc>
          <w:tcPr>
            <w:tcW w:w="2340" w:type="dxa"/>
          </w:tcPr>
          <w:p>
            <w:pPr>
              <w:spacing w:after="40"/>
            </w:pPr>
            <w:r>
              <w:rPr>
                <w:rFonts w:ascii="Times New Roman" w:hAnsi="Times New Roman" w:cs="Times New Roman"/>
                <w:sz w:val="17"/>
                <w:szCs w:val="17"/>
              </w:rPr>
              <w:t xml:space="preserve">v0.1</w:t>
            </w:r>
          </w:p>
        </w:tc>
      </w:tr>
      <w:tr>
        <w:trPr>
          <w:cantSplit/>
        </w:trPr>
        <w:tc>
          <w:tcPr>
            <w:tcW w:w="2340" w:type="dxa"/>
          </w:tcPr>
          <w:p>
            <w:pPr>
              <w:spacing w:after="40"/>
            </w:pPr>
            <w:r>
              <w:rPr>
                <w:rFonts w:ascii="Times New Roman" w:hAnsi="Times New Roman" w:cs="Times New Roman"/>
                <w:sz w:val="17"/>
                <w:szCs w:val="17"/>
              </w:rPr>
              <w:t xml:space="preserve">2026-09-25</w:t>
            </w:r>
          </w:p>
        </w:tc>
        <w:tc>
          <w:tcPr>
            <w:tcW w:w="2340" w:type="dxa"/>
          </w:tcPr>
          <w:p>
            <w:pPr>
              <w:spacing w:after="40"/>
            </w:pPr>
            <w:r>
              <w:rPr>
                <w:rFonts w:ascii="Times New Roman" w:hAnsi="Times New Roman" w:cs="Times New Roman"/>
                <w:sz w:val="17"/>
                <w:szCs w:val="17"/>
              </w:rPr>
              <w:t xml:space="preserve">hidzo-counsel-reviewer (AI)</w:t>
            </w:r>
          </w:p>
        </w:tc>
        <w:tc>
          <w:tcPr>
            <w:tcW w:w="2340" w:type="dxa"/>
          </w:tcPr>
          <w:p>
            <w:pPr>
              <w:spacing w:after="40"/>
            </w:pPr>
            <w:r>
              <w:rPr>
                <w:rFonts w:ascii="Times New Roman" w:hAnsi="Times New Roman" w:cs="Times New Roman"/>
                <w:sz w:val="17"/>
                <w:szCs w:val="17"/>
              </w:rPr>
              <w:t xml:space="preserve">REVISE (9 Majors)</w:t>
            </w:r>
          </w:p>
        </w:tc>
        <w:tc>
          <w:tcPr>
            <w:tcW w:w="2340" w:type="dxa"/>
          </w:tcPr>
          <w:p>
            <w:pPr>
              <w:spacing w:after="40"/>
            </w:pPr>
            <w:r>
              <w:rPr>
                <w:rFonts w:ascii="Times New Roman" w:hAnsi="Times New Roman" w:cs="Times New Roman"/>
                <w:sz w:val="17"/>
                <w:szCs w:val="17"/>
              </w:rPr>
              <w:t xml:space="preserve">v0.2: conditional safe harbour with defeating conditions and waiver of ToS/AUP restrictions; no interception of other users; hosts out of scope; CRA timing split; right to report to CSIRT/ENISA; sanctions and privacy notice; bracketed service commitments; data-handling duty; embargo tied to fix release; role identity for PGP and replies</w:t>
            </w:r>
          </w:p>
        </w:tc>
      </w:tr>
      <w:tr>
        <w:trPr>
          <w:cantSplit/>
        </w:trPr>
        <w:tc>
          <w:tcPr>
            <w:tcW w:w="2340" w:type="dxa"/>
          </w:tcPr>
          <w:p>
            <w:pPr>
              <w:spacing w:after="40"/>
            </w:pPr>
            <w:r>
              <w:rPr>
                <w:rFonts w:ascii="Times New Roman" w:hAnsi="Times New Roman" w:cs="Times New Roman"/>
                <w:sz w:val="17"/>
                <w:szCs w:val="17"/>
              </w:rPr>
              <w:t xml:space="preserve">2026-09-25</w:t>
            </w:r>
          </w:p>
        </w:tc>
        <w:tc>
          <w:tcPr>
            <w:tcW w:w="2340" w:type="dxa"/>
          </w:tcPr>
          <w:p>
            <w:pPr>
              <w:spacing w:after="40"/>
            </w:pPr>
            <w:r>
              <w:rPr>
                <w:rFonts w:ascii="Times New Roman" w:hAnsi="Times New Roman" w:cs="Times New Roman"/>
                <w:sz w:val="17"/>
                <w:szCs w:val="17"/>
              </w:rPr>
              <w:t xml:space="preserve">hidzo-counsel-reviewer (AI) — cross-document final audit; research memos EV-232–235</w:t>
            </w:r>
          </w:p>
        </w:tc>
        <w:tc>
          <w:tcPr>
            <w:tcW w:w="2340" w:type="dxa"/>
          </w:tcPr>
          <w:p>
            <w:pPr>
              <w:spacing w:after="40"/>
            </w:pPr>
            <w:r>
              <w:rPr>
                <w:rFonts w:ascii="Times New Roman" w:hAnsi="Times New Roman" w:cs="Times New Roman"/>
                <w:sz w:val="17"/>
                <w:szCs w:val="17"/>
              </w:rPr>
              <w:t xml:space="preserve">REVISE (set: 1 Blocker, 8 Majors)</w:t>
            </w:r>
          </w:p>
        </w:tc>
        <w:tc>
          <w:tcPr>
            <w:tcW w:w="2340" w:type="dxa"/>
          </w:tcPr>
          <w:p>
            <w:pPr>
              <w:spacing w:after="40"/>
            </w:pPr>
            <w:r>
              <w:rPr>
                <w:rFonts w:ascii="Times New Roman" w:hAnsi="Times New Roman" w:cs="Times New Roman"/>
                <w:sz w:val="17"/>
                <w:szCs w:val="17"/>
              </w:rPr>
              <w:t xml:space="preserve">v0.3: cross-document redlines X-01–X-31 applied where they concern this document; authority labels updated from first-hand and research-memo checks (EV-238–264)</w:t>
            </w:r>
          </w:p>
        </w:tc>
      </w:tr>
    </w:tbl>
    <w:p>
      <w:pPr>
        <w:spacing w:after="60"/>
      </w:pPr>
    </w:p>
    <w:sectPr>
      <w:headerReference w:type="default" r:id="rIdHeader"/>
      <w:footerReference w:type="default" r:id="rIdFooter"/>
      <w:pgSz w:w="12240" w:h="15840"/>
      <w:pgMar w:top="1440" w:right="1440" w:bottom="1440" w:left="1440" w:header="708" w:footer="708" w:gutter="0"/>
    </w:sectPr>
  </w:body>
</w:document>
</file>

<file path=word/footer1.xml><?xml version="1.0" encoding="utf-8"?>
<w:ftr xmlns:w="http://schemas.openxmlformats.org/wordprocessingml/2006/main" xmlns:r="http://schemas.openxmlformats.org/officeDocument/2006/relationships">
  <w:p>
    <w:pPr>
      <w:spacing w:after="0"/>
      <w:jc w:val="center"/>
    </w:pPr>
    <w:r>
      <w:rPr>
        <w:rFonts w:ascii="Times New Roman" w:hAnsi="Times New Roman" w:cs="Times New Roman"/>
        <w:sz w:val="16"/>
        <w:szCs w:val="16"/>
      </w:rPr>
      <w:t xml:space="preserve">Page </w:t>
    </w:r>
    <w:r>
      <w:fldChar w:fldCharType="begin"/>
    </w:r>
    <w:r>
      <w:instrText xml:space="preserve"> PAGE </w:instrText>
    </w:r>
    <w:r>
      <w:fldChar w:fldCharType="separate"/>
    </w:r>
    <w:r>
      <w:rPr>
        <w:rFonts w:ascii="Times New Roman" w:hAnsi="Times New Roman" w:cs="Times New Roman"/>
        <w:sz w:val="16"/>
        <w:szCs w:val="16"/>
      </w:rPr>
      <w:t xml:space="preserve">1</w:t>
    </w:r>
    <w:r>
      <w:fldChar w:fldCharType="end"/>
    </w:r>
    <w:r>
      <w:rPr>
        <w:rFonts w:ascii="Times New Roman" w:hAnsi="Times New Roman" w:cs="Times New Roman"/>
        <w:sz w:val="16"/>
        <w:szCs w:val="16"/>
      </w:rPr>
      <w:t xml:space="preserve"> of </w:t>
    </w:r>
    <w:r>
      <w:fldChar w:fldCharType="begin"/>
    </w:r>
    <w:r>
      <w:instrText xml:space="preserve"> NUMPAGES </w:instrText>
    </w:r>
    <w:r>
      <w:fldChar w:fldCharType="separate"/>
    </w:r>
    <w:r>
      <w:rPr>
        <w:rFonts w:ascii="Times New Roman" w:hAnsi="Times New Roman" w:cs="Times New Roman"/>
        <w:sz w:val="16"/>
        <w:szCs w:val="16"/>
      </w:rPr>
      <w:t xml:space="preserve">1</w:t>
    </w:r>
    <w:r>
      <w:fldChar w:fldCharType="end"/>
    </w:r>
  </w:p>
  <w:p>
    <w:pPr>
      <w:spacing w:after="0"/>
      <w:jc w:val="center"/>
    </w:pPr>
    <w:r>
      <w:rPr>
        <w:rFonts w:ascii="Times New Roman" w:hAnsi="Times New Roman" w:cs="Times New Roman"/>
        <w:b/>
        <w:bCs/>
        <w:sz w:val="14"/>
        <w:szCs w:val="14"/>
      </w:rPr>
      <w:t xml:space="preserve">DRAFT — PREPARED FOR REVIEW BY LICENSED COUNSEL — NOT LEGAL ADVICE</w:t>
    </w:r>
  </w:p>
</w:ftr>
</file>

<file path=word/header1.xml><?xml version="1.0" encoding="utf-8"?>
<w:hdr xmlns:w="http://schemas.openxmlformats.org/wordprocessingml/2006/main" xmlns:r="http://schemas.openxmlformats.org/officeDocument/2006/relationships">
  <w:p>
    <w:pPr>
      <w:jc w:val="right"/>
    </w:pPr>
    <w:r>
      <w:rPr>
        <w:rFonts w:ascii="Times New Roman" w:hAnsi="Times New Roman" w:cs="Times New Roman"/>
        <w:sz w:val="16"/>
        <w:szCs w:val="16"/>
      </w:rPr>
      <w:t xml:space="preserve">POL-VDP-001  ·  v0.3  ·  INTERNAL — LEGAL (Part B becomes PUBLIC on publication)</w:t>
    </w:r>
  </w:p>
</w:hdr>
</file>

<file path=word/styles.xml><?xml version="1.0" encoding="utf-8"?>
<w:styles xmlns:w="http://schemas.openxmlformats.org/wordprocessingml/2006/main" xmlns:r="http://schemas.openxmlformats.org/officeDocument/2006/relationships">
  <w:docDefaults>
    <w:rPrDefault>
      <w:rPr>
        <w:rFonts w:ascii="Times New Roman" w:hAnsi="Times New Roman" w:eastAsia="Times New Roman" w:cs="Times New Roman"/>
        <w:sz w:val="22"/>
        <w:szCs w:val="22"/>
        <w:lang w:val="en-US"/>
      </w:rPr>
    </w:rPrDefault>
    <w:pPrDefault>
      <w:pPr>
        <w:spacing w:after="120" w:line="264" w:lineRule="auto"/>
      </w:pPr>
    </w:pPrDefault>
  </w:docDefaults>
  <w:style w:type="paragraph" w:default="1" w:styleId="Normal">
    <w:name w:val="Normal"/>
    <w:qFormat/>
  </w:style>
  <w:style w:type="paragraph" w:styleId="Heading1">
    <w:name w:val="heading 1"/>
    <w:basedOn w:val="Normal"/>
    <w:next w:val="Normal"/>
    <w:qFormat/>
    <w:pPr>
      <w:keepNext/>
      <w:spacing w:before="360" w:after="120"/>
      <w:outlineLvl w:val="0"/>
    </w:pPr>
    <w:rPr>
      <w:b/>
      <w:bCs/>
      <w:sz w:val="30"/>
      <w:szCs w:val="30"/>
    </w:rPr>
  </w:style>
  <w:style w:type="paragraph" w:styleId="Heading2">
    <w:name w:val="heading 2"/>
    <w:basedOn w:val="Normal"/>
    <w:next w:val="Normal"/>
    <w:qFormat/>
    <w:pPr>
      <w:keepNext/>
      <w:spacing w:before="280" w:after="120"/>
      <w:outlineLvl w:val="1"/>
    </w:pPr>
    <w:rPr>
      <w:b/>
      <w:bCs/>
      <w:sz w:val="26"/>
      <w:szCs w:val="26"/>
    </w:rPr>
  </w:style>
  <w:style w:type="paragraph" w:styleId="Heading3">
    <w:name w:val="heading 3"/>
    <w:basedOn w:val="Normal"/>
    <w:next w:val="Normal"/>
    <w:qFormat/>
    <w:pPr>
      <w:keepNext/>
      <w:spacing w:before="200" w:after="120"/>
      <w:outlineLvl w:val="2"/>
    </w:pPr>
    <w:rPr>
      <w:b/>
      <w:bCs/>
      <w:sz w:val="24"/>
      <w:szCs w:val="24"/>
    </w:rPr>
  </w:style>
  <w:style w:type="paragraph" w:styleId="Heading4">
    <w:name w:val="heading 4"/>
    <w:basedOn w:val="Normal"/>
    <w:next w:val="Normal"/>
    <w:qFormat/>
    <w:pPr>
      <w:keepNext/>
      <w:spacing w:before="160" w:after="120"/>
      <w:outlineLvl w:val="3"/>
    </w:pPr>
    <w:rPr>
      <w:b/>
      <w:bCs/>
      <w:sz w:val="22"/>
      <w:szCs w:val="22"/>
    </w:rPr>
  </w:style>
  <w:style w:type="table" w:styleId="TableGrid">
    <w:name w:val="Table Grid"/>
    <w:tblPr>
      <w:tblBorders>
        <w:top w:val="single" w:sz="4" w:space="0" w:color="auto"/>
        <w:bottom w:val="single" w:sz="4" w:space="0" w:color="auto"/>
      </w:tblBorders>
    </w:tbl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Header" Type="http://schemas.openxmlformats.org/officeDocument/2006/relationships/header" Target="header1.xml"/><Relationship Id="rIdFooter" Type="http://schemas.openxmlformats.org/officeDocument/2006/relationships/footer" Target="footer1.xml"/></Relationships>
</file>

<file path=docProps/core.xml><?xml version="1.0" encoding="utf-8"?>
<cp:coreProperties xmlns:cp="http://schemas.openxmlformats.org/package/2006/metadata/core-properties" xmlns:dc="http://purl.org/dc/elements/1.1/" xmlns:dcterms="http://purl.org/dc/terms/" xmlns:xsi="http://www.w3.org/2001/XMLSchema-instance">
  <dc:title>Vulnerability Disclosure Policy — draft with drafting notes</dc:title>
  <dc:creator>HidzoVPN Legal KB</dc:creator>
  <dc:identifier>POL-VDP-001</dc:identifier>
  <dcterms:created xsi:type="dcterms:W3CDTF">2026-09-28T09:52:26Z</dcterms:created>
</cp:coreProperties>
</file>