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List of Service Providers (processors)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POL-SUB-001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(UK GDPR Art. 28 read by AI reviewer — Reported; other items pending)</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(named person TBD) with CTO and Procurement</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w:t>
      </w:r>
      <w:r>
        <w:rPr>
          <w:rFonts w:ascii="Times New Roman" w:hAnsi="Times New Roman" w:cs="Times New Roman"/>
          <w:b/>
          <w:bCs/>
          <w:i/>
        </w:rPr>
        <w:t xml:space="preserve">No vendor in the vendor register is yet confirmed</w:t>
      </w:r>
      <w:r>
        <w:rPr>
          <w:rFonts w:ascii="Times New Roman" w:hAnsi="Times New Roman" w:cs="Times New Roman"/>
          <w:i/>
        </w:rPr>
        <w:t xml:space="preserve"> (REG-VND). A provider may be listed only after its legal entity, role, data, countries and contract are confirmed and it has passed sanctions screening. HidzoVPN is a controller toward its users; its vendors are processors ("service providers"), not "subprocessors" — the title reflects that </w:t>
      </w:r>
      <w:r>
        <w:rPr>
          <w:rFonts w:ascii="Consolas" w:hAnsi="Consolas" w:cs="Times New Roman"/>
          <w:i/>
        </w:rPr>
        <w:t xml:space="preserve">[COUNSEL]</w:t>
      </w:r>
      <w:r>
        <w:rPr>
          <w:rFonts w:ascii="Times New Roman" w:hAnsi="Times New Roman" w:cs="Times New Roman"/>
          <w:i/>
        </w:rPr>
        <w:t xml:space="preserve">.</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Which third parties process personal data on HidzoVPN's behalf, for what purpose and where — and which act as independent businesses?</w:t>
            </w:r>
          </w:p>
        </w:tc>
      </w:tr>
      <w:tr>
        <w:trPr>
          <w:cantSplit/>
        </w:trPr>
        <w:tc>
          <w:tcPr>
            <w:tcW w:w="4680" w:type="dxa"/>
          </w:tcPr>
          <w:p>
            <w:pPr>
              <w:spacing w:after="40"/>
            </w:pPr>
            <w:r>
              <w:rPr>
                <w:rFonts w:ascii="Times New Roman" w:hAnsi="Times New Roman" w:cs="Times New Roman"/>
                <w:sz w:val="17"/>
                <w:szCs w:val="17"/>
              </w:rPr>
              <w:t xml:space="preserve">Legal drivers</w:t>
            </w:r>
          </w:p>
        </w:tc>
        <w:tc>
          <w:tcPr>
            <w:tcW w:w="4680" w:type="dxa"/>
          </w:tcPr>
          <w:p>
            <w:pPr>
              <w:spacing w:after="40"/>
            </w:pPr>
            <w:r>
              <w:rPr>
                <w:rFonts w:ascii="Times New Roman" w:hAnsi="Times New Roman" w:cs="Times New Roman"/>
                <w:sz w:val="17"/>
                <w:szCs w:val="17"/>
              </w:rPr>
              <w:t xml:space="preserve">GDPR Art. 28(1), (3) (processor contracts); Art. 13(1)(e)–(f) (recipients; transfers); CCPA service-provider contract terms (Cal. Civ. Code §1798.100(d), §1798.140(ag); 11 CCR §7051) if the CCPA applies. A named public list is a business choice beyond what the law requires </w:t>
            </w:r>
            <w:r>
              <w:rPr>
                <w:rFonts w:ascii="Consolas" w:hAnsi="Consolas" w:cs="Times New Roman"/>
                <w:sz w:val="17"/>
                <w:szCs w:val="17"/>
              </w:rPr>
              <w:t xml:space="preserve">[COUNSEL]</w:t>
            </w:r>
          </w:p>
        </w:tc>
      </w:tr>
      <w:tr>
        <w:trPr>
          <w:cantSplit/>
        </w:trPr>
        <w:tc>
          <w:tcPr>
            <w:tcW w:w="4680" w:type="dxa"/>
          </w:tcPr>
          <w:p>
            <w:pPr>
              <w:spacing w:after="40"/>
            </w:pPr>
            <w:r>
              <w:rPr>
                <w:rFonts w:ascii="Times New Roman" w:hAnsi="Times New Roman" w:cs="Times New Roman"/>
                <w:sz w:val="17"/>
                <w:szCs w:val="17"/>
              </w:rPr>
              <w:t xml:space="preserve">Apple 5.4 link</w:t>
            </w:r>
          </w:p>
        </w:tc>
        <w:tc>
          <w:tcPr>
            <w:tcW w:w="4680" w:type="dxa"/>
          </w:tcPr>
          <w:p>
            <w:pPr>
              <w:spacing w:after="40"/>
            </w:pPr>
            <w:r>
              <w:rPr>
                <w:rFonts w:ascii="Times New Roman" w:hAnsi="Times New Roman" w:cs="Times New Roman"/>
                <w:sz w:val="17"/>
                <w:szCs w:val="17"/>
              </w:rPr>
              <w:t xml:space="preserve">Privacy Policy §2 Alternative A allows disclosure only to service providers processing on HidzoVPN's instructions (EV-106). Which vendors are processors therefore decides Apple 5.4 compliance on iOS</w:t>
            </w:r>
          </w:p>
        </w:tc>
      </w:tr>
      <w:tr>
        <w:trPr>
          <w:cantSplit/>
        </w:trPr>
        <w:tc>
          <w:tcPr>
            <w:tcW w:w="4680" w:type="dxa"/>
          </w:tcPr>
          <w:p>
            <w:pPr>
              <w:spacing w:after="40"/>
            </w:pPr>
            <w:r>
              <w:rPr>
                <w:rFonts w:ascii="Times New Roman" w:hAnsi="Times New Roman" w:cs="Times New Roman"/>
                <w:sz w:val="17"/>
                <w:szCs w:val="17"/>
              </w:rPr>
              <w:t xml:space="preserve">Blocking issues</w:t>
            </w:r>
          </w:p>
        </w:tc>
        <w:tc>
          <w:tcPr>
            <w:tcW w:w="4680" w:type="dxa"/>
          </w:tcPr>
          <w:p>
            <w:pPr>
              <w:spacing w:after="40"/>
            </w:pPr>
            <w:r>
              <w:rPr>
                <w:rFonts w:ascii="Times New Roman" w:hAnsi="Times New Roman" w:cs="Times New Roman"/>
                <w:sz w:val="17"/>
                <w:szCs w:val="17"/>
              </w:rPr>
              <w:t xml:space="preserve">"Zareh": legal name and country unknown; sanctions screening against all OFAC programs required (RSK-033). Hosting accounts may be held by individuals (RSK-036). Whether a third-party DNS resolver is used (EV-202)</w:t>
            </w:r>
          </w:p>
        </w:tc>
      </w:tr>
    </w:tbl>
    <w:p>
      <w:pPr>
        <w:spacing w:after="60"/>
      </w:pPr>
    </w:p>
    <w:p>
      <w:pPr>
        <w:pStyle w:val="Heading3"/>
        <w:keepNext/>
      </w:pPr>
      <w:r>
        <w:rPr>
          <w:rFonts w:ascii="Times New Roman" w:hAnsi="Times New Roman" w:cs="Times New Roman"/>
        </w:rPr>
        <w:t xml:space="preserve">A.1 Role of platform and payment providers (for counsel)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Service</w:t>
            </w:r>
          </w:p>
        </w:tc>
        <w:tc>
          <w:tcPr>
            <w:tcW w:w="3120" w:type="dxa"/>
            <w:shd w:val="clear" w:color="auto" w:fill="D9D9D9"/>
          </w:tcPr>
          <w:p>
            <w:pPr>
              <w:spacing w:after="40"/>
            </w:pPr>
            <w:r>
              <w:rPr>
                <w:rFonts w:ascii="Times New Roman" w:hAnsi="Times New Roman" w:cs="Times New Roman"/>
                <w:b/>
                <w:bCs/>
                <w:sz w:val="17"/>
                <w:szCs w:val="17"/>
              </w:rPr>
              <w:t xml:space="preserve">Likely role</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Apple App Store distribution and in-app purchase</w:t>
            </w:r>
          </w:p>
        </w:tc>
        <w:tc>
          <w:tcPr>
            <w:tcW w:w="3120" w:type="dxa"/>
          </w:tcPr>
          <w:p>
            <w:pPr>
              <w:spacing w:after="40"/>
            </w:pPr>
            <w:r>
              <w:rPr>
                <w:rFonts w:ascii="Times New Roman" w:hAnsi="Times New Roman" w:cs="Times New Roman"/>
                <w:sz w:val="17"/>
                <w:szCs w:val="17"/>
              </w:rPr>
              <w:t xml:space="preserve">Independent (Apple acts as agent and commissionaire under DPLA Sch. 2)</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Sign in with Apple; Apple Push Notification service</w:t>
            </w:r>
          </w:p>
        </w:tc>
        <w:tc>
          <w:tcPr>
            <w:tcW w:w="3120" w:type="dxa"/>
          </w:tcPr>
          <w:p>
            <w:pPr>
              <w:spacing w:after="40"/>
            </w:pPr>
            <w:r>
              <w:rPr>
                <w:rFonts w:ascii="Consolas" w:hAnsi="Consolas" w:cs="Times New Roman"/>
                <w:sz w:val="17"/>
                <w:szCs w:val="17"/>
              </w:rPr>
              <w:t xml:space="preserve">[COUNSEL]</w:t>
            </w:r>
          </w:p>
        </w:tc>
        <w:tc>
          <w:tcPr>
            <w:tcW w:w="3120" w:type="dxa"/>
          </w:tcPr>
          <w:p>
            <w:pPr>
              <w:spacing w:after="40"/>
            </w:pPr>
            <w:r>
              <w:rPr>
                <w:rFonts w:ascii="Times New Roman" w:hAnsi="Times New Roman" w:cs="Times New Roman"/>
                <w:sz w:val="17"/>
                <w:szCs w:val="17"/>
              </w:rPr>
              <w:t xml:space="preserve">Open</w:t>
            </w:r>
          </w:p>
        </w:tc>
      </w:tr>
      <w:tr>
        <w:trPr>
          <w:cantSplit/>
        </w:trPr>
        <w:tc>
          <w:tcPr>
            <w:tcW w:w="3120" w:type="dxa"/>
          </w:tcPr>
          <w:p>
            <w:pPr>
              <w:spacing w:after="40"/>
            </w:pPr>
            <w:r>
              <w:rPr>
                <w:rFonts w:ascii="Times New Roman" w:hAnsi="Times New Roman" w:cs="Times New Roman"/>
                <w:sz w:val="17"/>
                <w:szCs w:val="17"/>
              </w:rPr>
              <w:t xml:space="preserve">Google Play distribution and billing</w:t>
            </w:r>
          </w:p>
        </w:tc>
        <w:tc>
          <w:tcPr>
            <w:tcW w:w="3120" w:type="dxa"/>
          </w:tcPr>
          <w:p>
            <w:pPr>
              <w:spacing w:after="40"/>
            </w:pPr>
            <w:r>
              <w:rPr>
                <w:rFonts w:ascii="Times New Roman" w:hAnsi="Times New Roman" w:cs="Times New Roman"/>
                <w:sz w:val="17"/>
                <w:szCs w:val="17"/>
              </w:rPr>
              <w:t xml:space="preserve">Independent </w:t>
            </w:r>
            <w:r>
              <w:rPr>
                <w:rFonts w:ascii="Consolas" w:hAnsi="Consolas" w:cs="Times New Roman"/>
                <w:sz w:val="17"/>
                <w:szCs w:val="17"/>
              </w:rPr>
              <w:t xml:space="preserve">[VERIFY]</w:t>
            </w:r>
          </w:p>
        </w:tc>
        <w:tc>
          <w:tcPr>
            <w:tcW w:w="3120" w:type="dxa"/>
          </w:tcPr>
          <w:p>
            <w:pPr>
              <w:spacing w:after="40"/>
            </w:pPr>
            <w:r>
              <w:rPr>
                <w:rFonts w:ascii="Times New Roman" w:hAnsi="Times New Roman" w:cs="Times New Roman"/>
                <w:sz w:val="17"/>
                <w:szCs w:val="17"/>
              </w:rPr>
              <w:t xml:space="preserve">Open</w:t>
            </w:r>
          </w:p>
        </w:tc>
      </w:tr>
      <w:tr>
        <w:trPr>
          <w:cantSplit/>
        </w:trPr>
        <w:tc>
          <w:tcPr>
            <w:tcW w:w="3120" w:type="dxa"/>
          </w:tcPr>
          <w:p>
            <w:pPr>
              <w:spacing w:after="40"/>
            </w:pPr>
            <w:r>
              <w:rPr>
                <w:rFonts w:ascii="Times New Roman" w:hAnsi="Times New Roman" w:cs="Times New Roman"/>
                <w:sz w:val="17"/>
                <w:szCs w:val="17"/>
              </w:rPr>
              <w:t xml:space="preserve">Google Firebase / Crashlytics / Cloud Messaging; Google Analytics via GTM</w:t>
            </w:r>
          </w:p>
        </w:tc>
        <w:tc>
          <w:tcPr>
            <w:tcW w:w="3120" w:type="dxa"/>
          </w:tcPr>
          <w:p>
            <w:pPr>
              <w:spacing w:after="40"/>
            </w:pPr>
            <w:r>
              <w:rPr>
                <w:rFonts w:ascii="Times New Roman" w:hAnsi="Times New Roman" w:cs="Times New Roman"/>
                <w:sz w:val="17"/>
                <w:szCs w:val="17"/>
              </w:rPr>
              <w:t xml:space="preserve">Processor terms normally available </w:t>
            </w:r>
            <w:r>
              <w:rPr>
                <w:rFonts w:ascii="Consolas" w:hAnsi="Consolas" w:cs="Times New Roman"/>
                <w:sz w:val="17"/>
                <w:szCs w:val="17"/>
              </w:rPr>
              <w:t xml:space="preserve">[VERIFY]</w:t>
            </w:r>
            <w:r>
              <w:rPr>
                <w:rFonts w:ascii="Times New Roman" w:hAnsi="Times New Roman" w:cs="Times New Roman"/>
                <w:sz w:val="17"/>
                <w:szCs w:val="17"/>
              </w:rPr>
              <w:t xml:space="preserve"> → list in Part B if used</w:t>
            </w:r>
          </w:p>
        </w:tc>
        <w:tc>
          <w:tcPr>
            <w:tcW w:w="3120" w:type="dxa"/>
          </w:tcPr>
          <w:p>
            <w:pPr>
              <w:spacing w:after="40"/>
            </w:pPr>
            <w:r>
              <w:rPr>
                <w:rFonts w:ascii="Times New Roman" w:hAnsi="Times New Roman" w:cs="Times New Roman"/>
                <w:sz w:val="17"/>
                <w:szCs w:val="17"/>
              </w:rPr>
              <w:t xml:space="preserve">Open</w:t>
            </w:r>
          </w:p>
        </w:tc>
      </w:tr>
      <w:tr>
        <w:trPr>
          <w:cantSplit/>
        </w:trPr>
        <w:tc>
          <w:tcPr>
            <w:tcW w:w="3120" w:type="dxa"/>
          </w:tcPr>
          <w:p>
            <w:pPr>
              <w:spacing w:after="40"/>
            </w:pPr>
            <w:r>
              <w:rPr>
                <w:rFonts w:ascii="Times New Roman" w:hAnsi="Times New Roman" w:cs="Times New Roman"/>
                <w:sz w:val="17"/>
                <w:szCs w:val="17"/>
              </w:rPr>
              <w:t xml:space="preserve">Google AdMob and other ad networks</w:t>
            </w:r>
          </w:p>
        </w:tc>
        <w:tc>
          <w:tcPr>
            <w:tcW w:w="3120" w:type="dxa"/>
          </w:tcPr>
          <w:p>
            <w:pPr>
              <w:spacing w:after="40"/>
            </w:pPr>
            <w:r>
              <w:rPr>
                <w:rFonts w:ascii="Times New Roman" w:hAnsi="Times New Roman" w:cs="Times New Roman"/>
                <w:sz w:val="17"/>
                <w:szCs w:val="17"/>
              </w:rPr>
              <w:t xml:space="preserve">Independent → Privacy Policy §3.5, not this list</w:t>
            </w:r>
          </w:p>
        </w:tc>
        <w:tc>
          <w:tcPr>
            <w:tcW w:w="3120" w:type="dxa"/>
          </w:tcPr>
          <w:p>
            <w:pPr>
              <w:spacing w:after="40"/>
            </w:pPr>
            <w:r>
              <w:rPr>
                <w:rFonts w:ascii="Times New Roman" w:hAnsi="Times New Roman" w:cs="Times New Roman"/>
                <w:sz w:val="17"/>
                <w:szCs w:val="17"/>
              </w:rPr>
              <w:t xml:space="preserve">Open (D4)</w:t>
            </w:r>
          </w:p>
        </w:tc>
      </w:tr>
      <w:tr>
        <w:trPr>
          <w:cantSplit/>
        </w:trPr>
        <w:tc>
          <w:tcPr>
            <w:tcW w:w="3120" w:type="dxa"/>
          </w:tcPr>
          <w:p>
            <w:pPr>
              <w:spacing w:after="40"/>
            </w:pPr>
            <w:r>
              <w:rPr>
                <w:rFonts w:ascii="Times New Roman" w:hAnsi="Times New Roman" w:cs="Times New Roman"/>
                <w:sz w:val="17"/>
                <w:szCs w:val="17"/>
              </w:rPr>
              <w:t xml:space="preserve">Stripe (website payments)</w:t>
            </w:r>
          </w:p>
        </w:tc>
        <w:tc>
          <w:tcPr>
            <w:tcW w:w="3120" w:type="dxa"/>
          </w:tcPr>
          <w:p>
            <w:pPr>
              <w:spacing w:after="40"/>
            </w:pPr>
            <w:r>
              <w:rPr>
                <w:rFonts w:ascii="Times New Roman" w:hAnsi="Times New Roman" w:cs="Times New Roman"/>
                <w:sz w:val="17"/>
                <w:szCs w:val="17"/>
              </w:rPr>
              <w:t xml:space="preserve">Mixed: processor for payment processing, independent controller for its own fraud and legal purposes (Reported, Level D) </w:t>
            </w:r>
            <w:r>
              <w:rPr>
                <w:rFonts w:ascii="Consolas" w:hAnsi="Consolas" w:cs="Times New Roman"/>
                <w:sz w:val="17"/>
                <w:szCs w:val="17"/>
              </w:rPr>
              <w:t xml:space="preserve">[COUNSEL]</w:t>
            </w:r>
          </w:p>
        </w:tc>
        <w:tc>
          <w:tcPr>
            <w:tcW w:w="3120" w:type="dxa"/>
          </w:tcPr>
          <w:p>
            <w:pPr>
              <w:spacing w:after="40"/>
            </w:pPr>
            <w:r>
              <w:rPr>
                <w:rFonts w:ascii="Times New Roman" w:hAnsi="Times New Roman" w:cs="Times New Roman"/>
                <w:sz w:val="17"/>
                <w:szCs w:val="17"/>
              </w:rPr>
              <w:t xml:space="preserve">Open</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Our Service Providers</w:t>
      </w:r>
    </w:p>
    <w:p>
      <w:pPr>
        <w:jc w:val="both"/>
      </w:pPr>
      <w:r>
        <w:rPr>
          <w:rFonts w:ascii="Times New Roman" w:hAnsi="Times New Roman" w:cs="Times New Roman"/>
          <w:b/>
          <w:bCs/>
        </w:rPr>
        <w:t xml:space="preserve">Last updated:</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The service providers below process personal data on behalf of HidzoVPN, Inc. to provide the Services </w:t>
      </w:r>
      <w:r>
        <w:rPr>
          <w:rFonts w:ascii="Consolas" w:hAnsi="Consolas" w:cs="Times New Roman"/>
        </w:rPr>
        <w:t xml:space="preserve">[VERIFY: a signed data processing agreement, or accepted online terms, in the name of HidzoVPN, Inc. for each row — RSK-036]</w:t>
      </w:r>
      <w:r>
        <w:rPr>
          <w:rFonts w:ascii="Times New Roman" w:hAnsi="Times New Roman" w:cs="Times New Roman"/>
        </w:rPr>
        <w:t xml:space="preserve">. Some of them, such as hosting providers, also process limited information for their own legal and security obligations. For how we protect international transfers, see Section 10 of our Privacy Policy.</w:t>
      </w:r>
    </w:p>
    <w:p>
      <w:pPr>
        <w:jc w:val="both"/>
      </w:pPr>
      <w:r>
        <w:rPr>
          <w:rFonts w:ascii="Consolas" w:hAnsi="Consolas" w:cs="Times New Roman"/>
        </w:rPr>
        <w:t xml:space="preserve">[PROCUREMENT and CTO: complete one row per confirmed provider. Do not list a provider until the confirmation in Part C.2 is complete. A provider in use may not be omitted.]</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1872"/>
        <w:gridCol w:w="1872"/>
        <w:gridCol w:w="1872"/>
        <w:gridCol w:w="1872"/>
        <w:gridCol w:w="1872"/>
      </w:tblGrid>
      <w:tr>
        <w:trPr>
          <w:tblHeader/>
          <w:cantSplit/>
        </w:trPr>
        <w:tc>
          <w:tcPr>
            <w:tcW w:w="1872" w:type="dxa"/>
            <w:shd w:val="clear" w:color="auto" w:fill="D9D9D9"/>
          </w:tcPr>
          <w:p>
            <w:pPr>
              <w:spacing w:after="40"/>
            </w:pPr>
            <w:r>
              <w:rPr>
                <w:rFonts w:ascii="Times New Roman" w:hAnsi="Times New Roman" w:cs="Times New Roman"/>
                <w:b/>
                <w:bCs/>
                <w:sz w:val="17"/>
                <w:szCs w:val="17"/>
              </w:rPr>
              <w:t xml:space="preserve">Provider (legal entity)</w:t>
            </w:r>
          </w:p>
        </w:tc>
        <w:tc>
          <w:tcPr>
            <w:tcW w:w="1872" w:type="dxa"/>
            <w:shd w:val="clear" w:color="auto" w:fill="D9D9D9"/>
          </w:tcPr>
          <w:p>
            <w:pPr>
              <w:spacing w:after="40"/>
            </w:pPr>
            <w:r>
              <w:rPr>
                <w:rFonts w:ascii="Times New Roman" w:hAnsi="Times New Roman" w:cs="Times New Roman"/>
                <w:b/>
                <w:bCs/>
                <w:sz w:val="17"/>
                <w:szCs w:val="17"/>
              </w:rPr>
              <w:t xml:space="preserve">What they do for us</w:t>
            </w:r>
          </w:p>
        </w:tc>
        <w:tc>
          <w:tcPr>
            <w:tcW w:w="1872" w:type="dxa"/>
            <w:shd w:val="clear" w:color="auto" w:fill="D9D9D9"/>
          </w:tcPr>
          <w:p>
            <w:pPr>
              <w:spacing w:after="40"/>
            </w:pPr>
            <w:r>
              <w:rPr>
                <w:rFonts w:ascii="Times New Roman" w:hAnsi="Times New Roman" w:cs="Times New Roman"/>
                <w:b/>
                <w:bCs/>
                <w:sz w:val="17"/>
                <w:szCs w:val="17"/>
              </w:rPr>
              <w:t xml:space="preserve">Personal data involved</w:t>
            </w:r>
          </w:p>
        </w:tc>
        <w:tc>
          <w:tcPr>
            <w:tcW w:w="1872" w:type="dxa"/>
            <w:shd w:val="clear" w:color="auto" w:fill="D9D9D9"/>
          </w:tcPr>
          <w:p>
            <w:pPr>
              <w:spacing w:after="40"/>
            </w:pPr>
            <w:r>
              <w:rPr>
                <w:rFonts w:ascii="Times New Roman" w:hAnsi="Times New Roman" w:cs="Times New Roman"/>
                <w:b/>
                <w:bCs/>
                <w:sz w:val="17"/>
                <w:szCs w:val="17"/>
              </w:rPr>
              <w:t xml:space="preserve">Where data is processed</w:t>
            </w:r>
          </w:p>
        </w:tc>
        <w:tc>
          <w:tcPr>
            <w:tcW w:w="1872" w:type="dxa"/>
            <w:shd w:val="clear" w:color="auto" w:fill="D9D9D9"/>
          </w:tcPr>
          <w:p>
            <w:pPr>
              <w:spacing w:after="40"/>
            </w:pPr>
            <w:r>
              <w:rPr>
                <w:rFonts w:ascii="Times New Roman" w:hAnsi="Times New Roman" w:cs="Times New Roman"/>
                <w:b/>
                <w:bCs/>
                <w:sz w:val="17"/>
                <w:szCs w:val="17"/>
              </w:rPr>
              <w:t xml:space="preserve">Transfer safeguard</w:t>
            </w:r>
          </w:p>
        </w:tc>
      </w:tr>
      <w:tr>
        <w:trPr>
          <w:cantSplit/>
        </w:trPr>
        <w:tc>
          <w:tcPr>
            <w:tcW w:w="1872" w:type="dxa"/>
          </w:tcPr>
          <w:p>
            <w:pPr>
              <w:spacing w:after="40"/>
            </w:pPr>
            <w:r>
              <w:rPr>
                <w:rFonts w:ascii="Consolas" w:hAnsi="Consolas" w:cs="Times New Roman"/>
                <w:sz w:val="17"/>
                <w:szCs w:val="17"/>
              </w:rPr>
              <w:t xml:space="preserve">[e.g. DigitalOcean — VERIFY entity]</w:t>
            </w:r>
          </w:p>
        </w:tc>
        <w:tc>
          <w:tcPr>
            <w:tcW w:w="1872" w:type="dxa"/>
          </w:tcPr>
          <w:p>
            <w:pPr>
              <w:spacing w:after="40"/>
            </w:pPr>
            <w:r>
              <w:rPr>
                <w:rFonts w:ascii="Times New Roman" w:hAnsi="Times New Roman" w:cs="Times New Roman"/>
                <w:sz w:val="17"/>
                <w:szCs w:val="17"/>
              </w:rPr>
              <w:t xml:space="preserve">Hosting of servers and systems </w:t>
            </w:r>
            <w:r>
              <w:rPr>
                <w:rFonts w:ascii="Consolas" w:hAnsi="Consolas" w:cs="Times New Roman"/>
                <w:sz w:val="17"/>
                <w:szCs w:val="17"/>
              </w:rPr>
              <w:t xml:space="preserve">[VERIFY]</w:t>
            </w:r>
          </w:p>
        </w:tc>
        <w:tc>
          <w:tcPr>
            <w:tcW w:w="1872" w:type="dxa"/>
          </w:tcPr>
          <w:p>
            <w:pPr>
              <w:spacing w:after="40"/>
            </w:pPr>
            <w:r>
              <w:rPr>
                <w:rFonts w:ascii="Times New Roman" w:hAnsi="Times New Roman" w:cs="Times New Roman"/>
                <w:sz w:val="17"/>
                <w:szCs w:val="17"/>
              </w:rPr>
              <w:t xml:space="preserve">Network traffic passing through servers they host, including IP addresses </w:t>
            </w:r>
            <w:r>
              <w:rPr>
                <w:rFonts w:ascii="Consolas" w:hAnsi="Consolas" w:cs="Times New Roman"/>
                <w:sz w:val="17"/>
                <w:szCs w:val="17"/>
              </w:rPr>
              <w:t xml:space="preserve">[ENGINEERING: whether any connection records are stored on provider systems]</w:t>
            </w:r>
          </w:p>
        </w:tc>
        <w:tc>
          <w:tcPr>
            <w:tcW w:w="1872" w:type="dxa"/>
          </w:tcPr>
          <w:p>
            <w:pPr>
              <w:spacing w:after="40"/>
            </w:pPr>
            <w:r>
              <w:rPr>
                <w:rFonts w:ascii="Consolas" w:hAnsi="Consolas" w:cs="Times New Roman"/>
                <w:sz w:val="17"/>
                <w:szCs w:val="17"/>
              </w:rPr>
              <w:t xml:space="preserve">[COUNSEL: country only, or city — law-enforcement exposure (RSK-030)]</w:t>
            </w:r>
          </w:p>
        </w:tc>
        <w:tc>
          <w:tcPr>
            <w:tcW w:w="1872" w:type="dxa"/>
          </w:tcPr>
          <w:p>
            <w:pPr>
              <w:spacing w:after="40"/>
            </w:pPr>
            <w:r>
              <w:rPr>
                <w:rFonts w:ascii="Consolas" w:hAnsi="Consolas" w:cs="Times New Roman"/>
                <w:sz w:val="17"/>
                <w:szCs w:val="17"/>
              </w:rPr>
              <w:t xml:space="preserve">[EU (no transfer) / Data Privacy Framework / Standard Contractual Clauses / UK Addendum / Swiss FADP]</w:t>
            </w:r>
          </w:p>
        </w:tc>
      </w:tr>
      <w:tr>
        <w:trPr>
          <w:cantSplit/>
        </w:trPr>
        <w:tc>
          <w:tcPr>
            <w:tcW w:w="1872" w:type="dxa"/>
          </w:tcPr>
          <w:p>
            <w:pPr>
              <w:spacing w:after="40"/>
            </w:pPr>
            <w:r>
              <w:rPr>
                <w:rFonts w:ascii="Consolas" w:hAnsi="Consolas" w:cs="Times New Roman"/>
                <w:sz w:val="17"/>
                <w:szCs w:val="17"/>
              </w:rPr>
              <w:t xml:space="preserve">[e.g. Hetzner Online GmbH — VERIFY]</w:t>
            </w:r>
          </w:p>
        </w:tc>
        <w:tc>
          <w:tcPr>
            <w:tcW w:w="1872" w:type="dxa"/>
          </w:tcPr>
          <w:p>
            <w:pPr>
              <w:spacing w:after="40"/>
            </w:pPr>
            <w:r>
              <w:rPr>
                <w:rFonts w:ascii="Times New Roman" w:hAnsi="Times New Roman" w:cs="Times New Roman"/>
                <w:sz w:val="17"/>
                <w:szCs w:val="17"/>
              </w:rPr>
              <w:t xml:space="preserve">Hosting </w:t>
            </w:r>
            <w:r>
              <w:rPr>
                <w:rFonts w:ascii="Consolas" w:hAnsi="Consolas" w:cs="Times New Roman"/>
                <w:sz w:val="17"/>
                <w:szCs w:val="17"/>
              </w:rPr>
              <w:t xml:space="preserve">[VERIFY]</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[OneProvider — VERIFY entity]</w:t>
            </w:r>
          </w:p>
        </w:tc>
        <w:tc>
          <w:tcPr>
            <w:tcW w:w="1872" w:type="dxa"/>
          </w:tcPr>
          <w:p>
            <w:pPr>
              <w:spacing w:after="40"/>
            </w:pPr>
            <w:r>
              <w:rPr>
                <w:rFonts w:ascii="Times New Roman" w:hAnsi="Times New Roman" w:cs="Times New Roman"/>
                <w:sz w:val="17"/>
                <w:szCs w:val="17"/>
              </w:rPr>
              <w:t xml:space="preserve">Dedicated servers </w:t>
            </w:r>
            <w:r>
              <w:rPr>
                <w:rFonts w:ascii="Consolas" w:hAnsi="Consolas" w:cs="Times New Roman"/>
                <w:sz w:val="17"/>
                <w:szCs w:val="17"/>
              </w:rPr>
              <w:t xml:space="preserve">[VERIFY]</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[Clouvider — VERIFY entity]</w:t>
            </w:r>
          </w:p>
        </w:tc>
        <w:tc>
          <w:tcPr>
            <w:tcW w:w="1872" w:type="dxa"/>
          </w:tcPr>
          <w:p>
            <w:pPr>
              <w:spacing w:after="40"/>
            </w:pPr>
            <w:r>
              <w:rPr>
                <w:rFonts w:ascii="Times New Roman" w:hAnsi="Times New Roman" w:cs="Times New Roman"/>
                <w:sz w:val="17"/>
                <w:szCs w:val="17"/>
              </w:rPr>
              <w:t xml:space="preserve">Hosting / network </w:t>
            </w:r>
            <w:r>
              <w:rPr>
                <w:rFonts w:ascii="Consolas" w:hAnsi="Consolas" w:cs="Times New Roman"/>
                <w:sz w:val="17"/>
                <w:szCs w:val="17"/>
              </w:rPr>
              <w:t xml:space="preserve">[VERIFY]</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[DNS resolution — ENGINEERING: own resolver or third party (EV-202)]</w:t>
            </w:r>
          </w:p>
        </w:tc>
        <w:tc>
          <w:tcPr>
            <w:tcW w:w="1872" w:type="dxa"/>
          </w:tcPr>
          <w:p>
            <w:pPr>
              <w:spacing w:after="40"/>
            </w:pPr>
            <w:r>
              <w:rPr>
                <w:rFonts w:ascii="Times New Roman" w:hAnsi="Times New Roman" w:cs="Times New Roman"/>
                <w:sz w:val="17"/>
                <w:szCs w:val="17"/>
              </w:rPr>
              <w:t xml:space="preserve">Resolving domain names</w:t>
            </w:r>
          </w:p>
        </w:tc>
        <w:tc>
          <w:tcPr>
            <w:tcW w:w="1872" w:type="dxa"/>
          </w:tcPr>
          <w:p>
            <w:pPr>
              <w:spacing w:after="40"/>
            </w:pPr>
            <w:r>
              <w:rPr>
                <w:rFonts w:ascii="Consolas" w:hAnsi="Consolas" w:cs="Times New Roman"/>
                <w:sz w:val="17"/>
                <w:szCs w:val="17"/>
              </w:rPr>
              <w:t xml:space="preserve">[ENGINEERING: DNS queries — must be consistent with Privacy Policy §3.3]</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[Stripe entity — COUNSEL: role]</w:t>
            </w:r>
          </w:p>
        </w:tc>
        <w:tc>
          <w:tcPr>
            <w:tcW w:w="1872" w:type="dxa"/>
          </w:tcPr>
          <w:p>
            <w:pPr>
              <w:spacing w:after="40"/>
            </w:pPr>
            <w:r>
              <w:rPr>
                <w:rFonts w:ascii="Times New Roman" w:hAnsi="Times New Roman" w:cs="Times New Roman"/>
                <w:sz w:val="17"/>
                <w:szCs w:val="17"/>
              </w:rPr>
              <w:t xml:space="preserve">Website payment processing</w:t>
            </w:r>
          </w:p>
        </w:tc>
        <w:tc>
          <w:tcPr>
            <w:tcW w:w="1872" w:type="dxa"/>
          </w:tcPr>
          <w:p>
            <w:pPr>
              <w:spacing w:after="40"/>
            </w:pPr>
            <w:r>
              <w:rPr>
                <w:rFonts w:ascii="Times New Roman" w:hAnsi="Times New Roman" w:cs="Times New Roman"/>
                <w:sz w:val="17"/>
                <w:szCs w:val="17"/>
              </w:rPr>
              <w:t xml:space="preserve">Payment details, email, billing country</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[Email / one-time code provider]</w:t>
            </w:r>
          </w:p>
        </w:tc>
        <w:tc>
          <w:tcPr>
            <w:tcW w:w="1872" w:type="dxa"/>
          </w:tcPr>
          <w:p>
            <w:pPr>
              <w:spacing w:after="40"/>
            </w:pPr>
            <w:r>
              <w:rPr>
                <w:rFonts w:ascii="Times New Roman" w:hAnsi="Times New Roman" w:cs="Times New Roman"/>
                <w:sz w:val="17"/>
                <w:szCs w:val="17"/>
              </w:rPr>
              <w:t xml:space="preserve">Sending sign-in codes and service emails</w:t>
            </w:r>
          </w:p>
        </w:tc>
        <w:tc>
          <w:tcPr>
            <w:tcW w:w="1872" w:type="dxa"/>
          </w:tcPr>
          <w:p>
            <w:pPr>
              <w:spacing w:after="40"/>
            </w:pPr>
            <w:r>
              <w:rPr>
                <w:rFonts w:ascii="Times New Roman" w:hAnsi="Times New Roman" w:cs="Times New Roman"/>
                <w:sz w:val="17"/>
                <w:szCs w:val="17"/>
              </w:rPr>
              <w:t xml:space="preserve">Email address</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[Crash reporting / analytics provider]</w:t>
            </w:r>
          </w:p>
        </w:tc>
        <w:tc>
          <w:tcPr>
            <w:tcW w:w="1872" w:type="dxa"/>
          </w:tcPr>
          <w:p>
            <w:pPr>
              <w:spacing w:after="40"/>
            </w:pPr>
            <w:r>
              <w:rPr>
                <w:rFonts w:ascii="Times New Roman" w:hAnsi="Times New Roman" w:cs="Times New Roman"/>
                <w:sz w:val="17"/>
                <w:szCs w:val="17"/>
              </w:rPr>
              <w:t xml:space="preserve">App stability and usage measurement</w:t>
            </w:r>
          </w:p>
        </w:tc>
        <w:tc>
          <w:tcPr>
            <w:tcW w:w="1872" w:type="dxa"/>
          </w:tcPr>
          <w:p>
            <w:pPr>
              <w:spacing w:after="40"/>
            </w:pPr>
            <w:r>
              <w:rPr>
                <w:rFonts w:ascii="Times New Roman" w:hAnsi="Times New Roman" w:cs="Times New Roman"/>
                <w:sz w:val="17"/>
                <w:szCs w:val="17"/>
              </w:rPr>
              <w:t xml:space="preserve">Device and app data</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[Consent management provider]</w:t>
            </w:r>
          </w:p>
        </w:tc>
        <w:tc>
          <w:tcPr>
            <w:tcW w:w="1872" w:type="dxa"/>
          </w:tcPr>
          <w:p>
            <w:pPr>
              <w:spacing w:after="40"/>
            </w:pPr>
            <w:r>
              <w:rPr>
                <w:rFonts w:ascii="Times New Roman" w:hAnsi="Times New Roman" w:cs="Times New Roman"/>
                <w:sz w:val="17"/>
                <w:szCs w:val="17"/>
              </w:rPr>
              <w:t xml:space="preserve">Recording cookie choices</w:t>
            </w:r>
          </w:p>
        </w:tc>
        <w:tc>
          <w:tcPr>
            <w:tcW w:w="1872" w:type="dxa"/>
          </w:tcPr>
          <w:p>
            <w:pPr>
              <w:spacing w:after="40"/>
            </w:pPr>
            <w:r>
              <w:rPr>
                <w:rFonts w:ascii="Times New Roman" w:hAnsi="Times New Roman" w:cs="Times New Roman"/>
                <w:sz w:val="17"/>
                <w:szCs w:val="17"/>
              </w:rPr>
              <w:t xml:space="preserve">Consent records, device identifiers</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[Customer support tool]</w:t>
            </w:r>
          </w:p>
        </w:tc>
        <w:tc>
          <w:tcPr>
            <w:tcW w:w="1872" w:type="dxa"/>
          </w:tcPr>
          <w:p>
            <w:pPr>
              <w:spacing w:after="40"/>
            </w:pPr>
            <w:r>
              <w:rPr>
                <w:rFonts w:ascii="Times New Roman" w:hAnsi="Times New Roman" w:cs="Times New Roman"/>
                <w:sz w:val="17"/>
                <w:szCs w:val="17"/>
              </w:rPr>
              <w:t xml:space="preserve">Handling support requests</w:t>
            </w:r>
          </w:p>
        </w:tc>
        <w:tc>
          <w:tcPr>
            <w:tcW w:w="1872" w:type="dxa"/>
          </w:tcPr>
          <w:p>
            <w:pPr>
              <w:spacing w:after="40"/>
            </w:pPr>
            <w:r>
              <w:rPr>
                <w:rFonts w:ascii="Times New Roman" w:hAnsi="Times New Roman" w:cs="Times New Roman"/>
                <w:sz w:val="17"/>
                <w:szCs w:val="17"/>
              </w:rPr>
              <w:t xml:space="preserve">Messages, email address</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r>
        <w:trPr>
          <w:cantSplit/>
        </w:trPr>
        <w:tc>
          <w:tcPr>
            <w:tcW w:w="1872" w:type="dxa"/>
          </w:tcPr>
          <w:p>
            <w:pPr>
              <w:spacing w:after="40"/>
            </w:pPr>
            <w:r>
              <w:rPr>
                <w:rFonts w:ascii="Consolas" w:hAnsi="Consolas" w:cs="Times New Roman"/>
                <w:sz w:val="17"/>
                <w:szCs w:val="17"/>
              </w:rPr>
              <w:t xml:space="preserve">[OPEN — D7: cryptocurrency payment processor]</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c>
          <w:tcPr>
            <w:tcW w:w="1872" w:type="dxa"/>
          </w:tcPr>
          <w:p>
            <w:pPr>
              <w:spacing w:after="40"/>
            </w:pPr>
            <w:r>
              <w:rPr>
                <w:rFonts w:ascii="Consolas" w:hAnsi="Consolas" w:cs="Times New Roman"/>
                <w:sz w:val="17"/>
                <w:szCs w:val="17"/>
              </w:rPr>
              <w:t xml:space="preserve">[ ]</w:t>
            </w:r>
          </w:p>
        </w:tc>
      </w:tr>
    </w:tbl>
    <w:p>
      <w:pPr>
        <w:spacing w:after="60"/>
      </w:pPr>
    </w:p>
    <w:p>
      <w:pPr>
        <w:jc w:val="both"/>
      </w:pPr>
      <w:r>
        <w:rPr>
          <w:rFonts w:ascii="Times New Roman" w:hAnsi="Times New Roman" w:cs="Times New Roman"/>
          <w:b/>
          <w:bCs/>
        </w:rPr>
        <w:t xml:space="preserve">Changes to this list.</w:t>
      </w:r>
      <w:r>
        <w:rPr>
          <w:rFonts w:ascii="Times New Roman" w:hAnsi="Times New Roman" w:cs="Times New Roman"/>
        </w:rPr>
        <w:t xml:space="preserve"> We update this list when we add or replace a service provider </w:t>
      </w:r>
      <w:r>
        <w:rPr>
          <w:rFonts w:ascii="Consolas" w:hAnsi="Consolas" w:cs="Times New Roman"/>
        </w:rPr>
        <w:t xml:space="preserve">[OPEN: advance notice period, if any]</w:t>
      </w:r>
      <w:r>
        <w:rPr>
          <w:rFonts w:ascii="Times New Roman" w:hAnsi="Times New Roman" w:cs="Times New Roman"/>
        </w:rPr>
        <w:t xml:space="preserv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Sources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Processor contracts; authorisation of sub-processors and notice of changes; flow-down and liability</w:t>
            </w:r>
          </w:p>
        </w:tc>
        <w:tc>
          <w:tcPr>
            <w:tcW w:w="3120" w:type="dxa"/>
          </w:tcPr>
          <w:p>
            <w:pPr>
              <w:spacing w:after="40"/>
            </w:pPr>
            <w:r>
              <w:rPr>
                <w:rFonts w:ascii="Times New Roman" w:hAnsi="Times New Roman" w:cs="Times New Roman"/>
                <w:sz w:val="17"/>
                <w:szCs w:val="17"/>
              </w:rPr>
              <w:t xml:space="preserve">GDPR Art. 28(1)–(4) — Art. 28(2) notice-and-objection binds HidzoVPN's processors toward HidzoVPN, and binds HidzoVPN only where it acts as a processor (e.g. B2B/reseller)</w:t>
            </w:r>
          </w:p>
        </w:tc>
        <w:tc>
          <w:tcPr>
            <w:tcW w:w="3120" w:type="dxa"/>
          </w:tcPr>
          <w:p>
            <w:pPr>
              <w:spacing w:after="40"/>
            </w:pPr>
            <w:r>
              <w:rPr>
                <w:rFonts w:ascii="Times New Roman" w:hAnsi="Times New Roman" w:cs="Times New Roman"/>
                <w:sz w:val="17"/>
                <w:szCs w:val="17"/>
              </w:rPr>
              <w:t xml:space="preserve">Art. 28(2), (4) Verified (A) (EV-248); 28(1), (3) Reported (EV-237)</w:t>
            </w:r>
          </w:p>
        </w:tc>
      </w:tr>
      <w:tr>
        <w:trPr>
          <w:cantSplit/>
        </w:trPr>
        <w:tc>
          <w:tcPr>
            <w:tcW w:w="3120" w:type="dxa"/>
          </w:tcPr>
          <w:p>
            <w:pPr>
              <w:spacing w:after="40"/>
            </w:pPr>
            <w:r>
              <w:rPr>
                <w:rFonts w:ascii="Times New Roman" w:hAnsi="Times New Roman" w:cs="Times New Roman"/>
                <w:sz w:val="17"/>
                <w:szCs w:val="17"/>
              </w:rPr>
              <w:t xml:space="preserve">Recipients and transfers in the notice</w:t>
            </w:r>
          </w:p>
        </w:tc>
        <w:tc>
          <w:tcPr>
            <w:tcW w:w="3120" w:type="dxa"/>
          </w:tcPr>
          <w:p>
            <w:pPr>
              <w:spacing w:after="40"/>
            </w:pPr>
            <w:r>
              <w:rPr>
                <w:rFonts w:ascii="Times New Roman" w:hAnsi="Times New Roman" w:cs="Times New Roman"/>
                <w:sz w:val="17"/>
                <w:szCs w:val="17"/>
              </w:rPr>
              <w:t xml:space="preserve">GDPR Art. 13(1)(e)–(f)</w:t>
            </w:r>
          </w:p>
        </w:tc>
        <w:tc>
          <w:tcPr>
            <w:tcW w:w="3120" w:type="dxa"/>
          </w:tcPr>
          <w:p>
            <w:pPr>
              <w:spacing w:after="40"/>
            </w:pPr>
            <w:r>
              <w:rPr>
                <w:rFonts w:ascii="Consolas" w:hAnsi="Consolas" w:cs="Times New Roman"/>
                <w:sz w:val="17"/>
                <w:szCs w:val="17"/>
              </w:rPr>
              <w:t xml:space="preserve">[VERIFY: EV-233]</w:t>
            </w:r>
          </w:p>
        </w:tc>
      </w:tr>
      <w:tr>
        <w:trPr>
          <w:cantSplit/>
        </w:trPr>
        <w:tc>
          <w:tcPr>
            <w:tcW w:w="3120" w:type="dxa"/>
          </w:tcPr>
          <w:p>
            <w:pPr>
              <w:spacing w:after="40"/>
            </w:pPr>
            <w:r>
              <w:rPr>
                <w:rFonts w:ascii="Times New Roman" w:hAnsi="Times New Roman" w:cs="Times New Roman"/>
                <w:sz w:val="17"/>
                <w:szCs w:val="17"/>
              </w:rPr>
              <w:t xml:space="preserve">Transfer mechanisms; exporter subject to GDPR under Art. 3(2)</w:t>
            </w:r>
          </w:p>
        </w:tc>
        <w:tc>
          <w:tcPr>
            <w:tcW w:w="3120" w:type="dxa"/>
          </w:tcPr>
          <w:p>
            <w:pPr>
              <w:spacing w:after="40"/>
            </w:pPr>
            <w:r>
              <w:rPr>
                <w:rFonts w:ascii="Times New Roman" w:hAnsi="Times New Roman" w:cs="Times New Roman"/>
                <w:sz w:val="17"/>
                <w:szCs w:val="17"/>
              </w:rPr>
              <w:t xml:space="preserve">GDPR Arts. 44, 46(2)(c); Decision (EU) 2021/914 Art. 1(1) and Clause 9; EU-U.S. Data Privacy Framework; UK Addendum; Swiss FADP</w:t>
            </w:r>
          </w:p>
        </w:tc>
        <w:tc>
          <w:tcPr>
            <w:tcW w:w="3120" w:type="dxa"/>
          </w:tcPr>
          <w:p>
            <w:pPr>
              <w:spacing w:after="40"/>
            </w:pPr>
            <w:r>
              <w:rPr>
                <w:rFonts w:ascii="Times New Roman" w:hAnsi="Times New Roman" w:cs="Times New Roman"/>
                <w:sz w:val="17"/>
                <w:szCs w:val="17"/>
              </w:rPr>
              <w:t xml:space="preserve">Arts. 44, 46 and 2021/914 Verified (A) (EV-248, EV-249); others </w:t>
            </w:r>
            <w:r>
              <w:rPr>
                <w:rFonts w:ascii="Consolas" w:hAnsi="Consolas" w:cs="Times New Roman"/>
                <w:sz w:val="17"/>
                <w:szCs w:val="17"/>
              </w:rPr>
              <w:t xml:space="preserve">[VERIFY]</w:t>
            </w:r>
            <w:r>
              <w:rPr>
                <w:rFonts w:ascii="Times New Roman" w:hAnsi="Times New Roman" w:cs="Times New Roman"/>
                <w:sz w:val="17"/>
                <w:szCs w:val="17"/>
              </w:rPr>
              <w:t xml:space="preserve">; Art. 3(2) exporter point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Hosting DPAs</w:t>
            </w:r>
          </w:p>
        </w:tc>
        <w:tc>
          <w:tcPr>
            <w:tcW w:w="3120" w:type="dxa"/>
          </w:tcPr>
          <w:p>
            <w:pPr>
              <w:spacing w:after="40"/>
            </w:pPr>
            <w:r>
              <w:rPr>
                <w:rFonts w:ascii="Times New Roman" w:hAnsi="Times New Roman" w:cs="Times New Roman"/>
                <w:sz w:val="17"/>
                <w:szCs w:val="17"/>
              </w:rPr>
              <w:t xml:space="preserve">DigitalOcean DPA effective 6 Feb 2026 (SCCs + DPF; 30-day sub-processor notice) — Reported (B) (EV-250); Hetzner DPA reportedly concluded only by checkbox acceptance in the customer account — Level C (EV-251) </w:t>
            </w:r>
            <w:r>
              <w:rPr>
                <w:rFonts w:ascii="Consolas" w:hAnsi="Consolas" w:cs="Times New Roman"/>
                <w:sz w:val="17"/>
                <w:szCs w:val="17"/>
              </w:rPr>
              <w:t xml:space="preserve">[ENGINEERING: confirm acceptance, account holder and date — RSK-036]</w:t>
            </w:r>
          </w:p>
        </w:tc>
        <w:tc>
          <w:tcPr>
            <w:tcW w:w="3120" w:type="dxa"/>
          </w:tcPr>
          <w:p>
            <w:pPr>
              <w:spacing w:after="40"/>
            </w:pPr>
            <w:r>
              <w:rPr>
                <w:rFonts w:ascii="Times New Roman" w:hAnsi="Times New Roman" w:cs="Times New Roman"/>
                <w:sz w:val="17"/>
                <w:szCs w:val="17"/>
              </w:rPr>
              <w:t xml:space="preserve">see left</w:t>
            </w:r>
          </w:p>
        </w:tc>
      </w:tr>
      <w:tr>
        <w:trPr>
          <w:cantSplit/>
        </w:trPr>
        <w:tc>
          <w:tcPr>
            <w:tcW w:w="3120" w:type="dxa"/>
          </w:tcPr>
          <w:p>
            <w:pPr>
              <w:spacing w:after="40"/>
            </w:pPr>
            <w:r>
              <w:rPr>
                <w:rFonts w:ascii="Times New Roman" w:hAnsi="Times New Roman" w:cs="Times New Roman"/>
                <w:sz w:val="17"/>
                <w:szCs w:val="17"/>
              </w:rPr>
              <w:t xml:space="preserve">CCPA service-provider terms</w:t>
            </w:r>
          </w:p>
        </w:tc>
        <w:tc>
          <w:tcPr>
            <w:tcW w:w="3120" w:type="dxa"/>
          </w:tcPr>
          <w:p>
            <w:pPr>
              <w:spacing w:after="40"/>
            </w:pPr>
            <w:r>
              <w:rPr>
                <w:rFonts w:ascii="Times New Roman" w:hAnsi="Times New Roman" w:cs="Times New Roman"/>
                <w:sz w:val="17"/>
                <w:szCs w:val="17"/>
              </w:rPr>
              <w:t xml:space="preserve">Cal. Civ. Code §§1798.100(d), 1798.140(ag); 11 CCR §7051</w:t>
            </w:r>
          </w:p>
        </w:tc>
        <w:tc>
          <w:tcPr>
            <w:tcW w:w="3120" w:type="dxa"/>
          </w:tcPr>
          <w:p>
            <w:pPr>
              <w:spacing w:after="40"/>
            </w:pPr>
            <w:r>
              <w:rPr>
                <w:rFonts w:ascii="Consolas" w:hAnsi="Consolas" w:cs="Times New Roman"/>
                <w:sz w:val="17"/>
                <w:szCs w:val="17"/>
              </w:rPr>
              <w:t xml:space="preserve">[VERIFY: EV-233]</w:t>
            </w:r>
          </w:p>
        </w:tc>
      </w:tr>
      <w:tr>
        <w:trPr>
          <w:cantSplit/>
        </w:trPr>
        <w:tc>
          <w:tcPr>
            <w:tcW w:w="3120" w:type="dxa"/>
          </w:tcPr>
          <w:p>
            <w:pPr>
              <w:spacing w:after="40"/>
            </w:pPr>
            <w:r>
              <w:rPr>
                <w:rFonts w:ascii="Times New Roman" w:hAnsi="Times New Roman" w:cs="Times New Roman"/>
                <w:sz w:val="17"/>
                <w:szCs w:val="17"/>
              </w:rPr>
              <w:t xml:space="preserve">Vendor sanctions screening</w:t>
            </w:r>
          </w:p>
        </w:tc>
        <w:tc>
          <w:tcPr>
            <w:tcW w:w="3120" w:type="dxa"/>
          </w:tcPr>
          <w:p>
            <w:pPr>
              <w:spacing w:after="40"/>
            </w:pPr>
            <w:r>
              <w:rPr>
                <w:rFonts w:ascii="Times New Roman" w:hAnsi="Times New Roman" w:cs="Times New Roman"/>
                <w:sz w:val="17"/>
                <w:szCs w:val="17"/>
              </w:rPr>
              <w:t xml:space="preserve">OFAC — all programs (SDN and other lists; 50 Percent Rule; comprehensively sanctioned jurisdictions, including 31 C.F.R. Part 560); historical payments and voluntary self-disclosure analysis — escalate (KB-002 A7)</w:t>
            </w:r>
          </w:p>
        </w:tc>
        <w:tc>
          <w:tcPr>
            <w:tcW w:w="3120" w:type="dxa"/>
          </w:tcPr>
          <w:p>
            <w:pPr>
              <w:spacing w:after="40"/>
            </w:pPr>
            <w:r>
              <w:rPr>
                <w:rFonts w:ascii="Consolas" w:hAnsi="Consolas" w:cs="Times New Roman"/>
                <w:sz w:val="17"/>
                <w:szCs w:val="17"/>
              </w:rPr>
              <w:t xml:space="preserve">[COUNSEL: OFAC]</w:t>
            </w:r>
            <w:r>
              <w:rPr>
                <w:rFonts w:ascii="Times New Roman" w:hAnsi="Times New Roman" w:cs="Times New Roman"/>
                <w:sz w:val="17"/>
                <w:szCs w:val="17"/>
              </w:rPr>
              <w:t xml:space="preserve"> (RSK-033)</w:t>
            </w:r>
          </w:p>
        </w:tc>
      </w:tr>
      <w:tr>
        <w:trPr>
          <w:cantSplit/>
        </w:trPr>
        <w:tc>
          <w:tcPr>
            <w:tcW w:w="3120" w:type="dxa"/>
          </w:tcPr>
          <w:p>
            <w:pPr>
              <w:spacing w:after="40"/>
            </w:pPr>
            <w:r>
              <w:rPr>
                <w:rFonts w:ascii="Times New Roman" w:hAnsi="Times New Roman" w:cs="Times New Roman"/>
                <w:sz w:val="17"/>
                <w:szCs w:val="17"/>
              </w:rPr>
              <w:t xml:space="preserve">Apple 5.4 dependency</w:t>
            </w:r>
          </w:p>
        </w:tc>
        <w:tc>
          <w:tcPr>
            <w:tcW w:w="3120" w:type="dxa"/>
          </w:tcPr>
          <w:p>
            <w:pPr>
              <w:spacing w:after="40"/>
            </w:pPr>
            <w:r>
              <w:rPr>
                <w:rFonts w:ascii="Times New Roman" w:hAnsi="Times New Roman" w:cs="Times New Roman"/>
                <w:sz w:val="17"/>
                <w:szCs w:val="17"/>
              </w:rPr>
              <w:t xml:space="preserve">Apple Guideline 5.4</w:t>
            </w:r>
          </w:p>
        </w:tc>
        <w:tc>
          <w:tcPr>
            <w:tcW w:w="3120" w:type="dxa"/>
          </w:tcPr>
          <w:p>
            <w:pPr>
              <w:spacing w:after="40"/>
            </w:pPr>
            <w:r>
              <w:rPr>
                <w:rFonts w:ascii="Times New Roman" w:hAnsi="Times New Roman" w:cs="Times New Roman"/>
                <w:sz w:val="17"/>
                <w:szCs w:val="17"/>
              </w:rPr>
              <w:t xml:space="preserve">Verified (EV-106)</w:t>
            </w:r>
          </w:p>
        </w:tc>
      </w:tr>
    </w:tbl>
    <w:p>
      <w:pPr>
        <w:spacing w:after="60"/>
      </w:pPr>
    </w:p>
    <w:p>
      <w:pPr>
        <w:pStyle w:val="Heading3"/>
        <w:keepNext/>
      </w:pPr>
      <w:r>
        <w:rPr>
          <w:rFonts w:ascii="Times New Roman" w:hAnsi="Times New Roman" w:cs="Times New Roman"/>
        </w:rPr>
        <w:t xml:space="preserve">C.2 Confirmation required for each provider (A-INT)</w:t>
      </w:r>
    </w:p>
    <w:p>
      <w:pPr>
        <w:jc w:val="both"/>
      </w:pPr>
      <w:r>
        <w:rPr>
          <w:rFonts w:ascii="Times New Roman" w:hAnsi="Times New Roman" w:cs="Times New Roman"/>
        </w:rPr>
        <w:t xml:space="preserve">Contract or accepted online terms in the Company's name (RSK-036); legal entity and country; role per service (A.1); personal data processed; server and support locations; DPA and transfer mechanism; sanctions screening result; deletion and return terms. Each named hosting provider is either confirmed and listed, or confirmed out of service with no personal data held. Record each as </w:t>
      </w:r>
      <w:r>
        <w:rPr>
          <w:rFonts w:ascii="Consolas" w:hAnsi="Consolas" w:cs="Times New Roman"/>
        </w:rPr>
        <w:t xml:space="preserve">10-Vendors-SDKs/VND-&lt;NAME&gt;.md</w:t>
      </w:r>
      <w:r>
        <w:rPr>
          <w:rFonts w:ascii="Times New Roman" w:hAnsi="Times New Roman" w:cs="Times New Roman"/>
        </w:rPr>
        <w:t xml:space="preserve">. Change control: procurement ticket → legal review → page update.</w:t>
      </w:r>
    </w:p>
    <w:p>
      <w:pPr>
        <w:pStyle w:val="Heading3"/>
        <w:keepNext/>
      </w:pPr>
      <w:r>
        <w:rPr>
          <w:rFonts w:ascii="Times New Roman" w:hAnsi="Times New Roman" w:cs="Times New Roman"/>
        </w:rPr>
        <w:t xml:space="preserve">C.3 Limits of this analysis</w:t>
      </w:r>
    </w:p>
    <w:p>
      <w:pPr>
        <w:jc w:val="both"/>
      </w:pPr>
      <w:r>
        <w:rPr>
          <w:rFonts w:ascii="Times New Roman" w:hAnsi="Times New Roman" w:cs="Times New Roman"/>
        </w:rPr>
        <w:t xml:space="preserve">(a) Not reviewed: data-protection laws of provider countries; whether a public named list increases law-enforcement exposure (RSK-030) — counsel to weigh against transparency. (b) Not opened: GDPR Art. 13 and SCC texts (EUR-Lex); Stripe DPA text. (c) Facts unknown: all provider details; DNS arrangement; contract holders. (d) Counsel required: EU/UK privacy; U.S. privacy; OFAC.</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(2 Blockers; 8 Majors)</w:t>
            </w:r>
          </w:p>
        </w:tc>
        <w:tc>
          <w:tcPr>
            <w:tcW w:w="2340" w:type="dxa"/>
          </w:tcPr>
          <w:p>
            <w:pPr>
              <w:spacing w:after="40"/>
            </w:pPr>
            <w:r>
              <w:rPr>
                <w:rFonts w:ascii="Times New Roman" w:hAnsi="Times New Roman" w:cs="Times New Roman"/>
                <w:sz w:val="17"/>
                <w:szCs w:val="17"/>
              </w:rPr>
              <w:t xml:space="preserve">v0.2: contract statement bracketed (Blocker SUB-01); role table per service instead of blanket "independent" (Blocker SUB-02); retitled "Service Providers"; correct legal basis (Art. 28(1), (3); Art. 13); CCPA terms; missing categories (DNS, CMP, Stripe, crypto); "Zareh" may not be omitted while in use; all OFAC programs; transfer options incl. DPF and Swiss; country-only publication question; notice of changes without an unkeepable promise</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POL-SUB-001  ·  v0.3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List of Service Providers (processors) — draft with drafting notes</dc:title>
  <dc:creator>HidzoVPN Legal KB</dc:creator>
  <dc:identifier>POL-SUB-001</dc:identifier>
  <dcterms:created xsi:type="dcterms:W3CDTF">2026-09-28T09:52:26Z</dcterms:created>
</cp:coreProperties>
</file>