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200"/>
        <w:jc w:val="center"/>
      </w:pPr>
      <w:r>
        <w:rPr>
          <w:rFonts w:ascii="Times New Roman" w:hAnsi="Times New Roman" w:cs="Times New Roman"/>
          <w:b/>
          <w:bCs/>
          <w:sz w:val="32"/>
          <w:szCs w:val="32"/>
        </w:rPr>
        <w:t xml:space="preserve">Reseller Data Protection Terms and reseller-contact privacy notice — framework draft</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600"/>
        <w:gridCol w:w="6760"/>
      </w:tblGrid>
      <w:tr>
        <w:trPr>
          <w:cantSplit/>
        </w:trPr>
        <w:tc>
          <w:tcPr>
            <w:tcW w:w="2600" w:type="dxa"/>
            <w:shd w:val="clear" w:color="auto" w:fill="EDEDED"/>
          </w:tcPr>
          <w:p>
            <w:pPr>
              <w:spacing w:after="40"/>
            </w:pPr>
            <w:r>
              <w:rPr>
                <w:rFonts w:ascii="Times New Roman" w:hAnsi="Times New Roman" w:cs="Times New Roman"/>
                <w:sz w:val="18"/>
                <w:szCs w:val="18"/>
              </w:rPr>
              <w:t xml:space="preserve">Doc Id</w:t>
            </w:r>
          </w:p>
        </w:tc>
        <w:tc>
          <w:tcPr>
            <w:tcW w:w="6760" w:type="dxa"/>
          </w:tcPr>
          <w:p>
            <w:pPr>
              <w:spacing w:after="40"/>
            </w:pPr>
            <w:r>
              <w:rPr>
                <w:rFonts w:ascii="Times New Roman" w:hAnsi="Times New Roman" w:cs="Times New Roman"/>
                <w:sz w:val="18"/>
                <w:szCs w:val="18"/>
              </w:rPr>
              <w:t xml:space="preserve">POL-RPRIV-001</w:t>
            </w:r>
          </w:p>
        </w:tc>
      </w:tr>
      <w:tr>
        <w:trPr>
          <w:cantSplit/>
        </w:trPr>
        <w:tc>
          <w:tcPr>
            <w:tcW w:w="2600" w:type="dxa"/>
            <w:shd w:val="clear" w:color="auto" w:fill="EDEDED"/>
          </w:tcPr>
          <w:p>
            <w:pPr>
              <w:spacing w:after="40"/>
            </w:pPr>
            <w:r>
              <w:rPr>
                <w:rFonts w:ascii="Times New Roman" w:hAnsi="Times New Roman" w:cs="Times New Roman"/>
                <w:sz w:val="18"/>
                <w:szCs w:val="18"/>
              </w:rPr>
              <w:t xml:space="preserve">Version</w:t>
            </w:r>
          </w:p>
        </w:tc>
        <w:tc>
          <w:tcPr>
            <w:tcW w:w="6760" w:type="dxa"/>
          </w:tcPr>
          <w:p>
            <w:pPr>
              <w:spacing w:after="40"/>
            </w:pPr>
            <w:r>
              <w:rPr>
                <w:rFonts w:ascii="Times New Roman" w:hAnsi="Times New Roman" w:cs="Times New Roman"/>
                <w:sz w:val="18"/>
                <w:szCs w:val="18"/>
              </w:rPr>
              <w:t xml:space="preserve">0.2</w:t>
            </w:r>
          </w:p>
        </w:tc>
      </w:tr>
      <w:tr>
        <w:trPr>
          <w:cantSplit/>
        </w:trPr>
        <w:tc>
          <w:tcPr>
            <w:tcW w:w="2600" w:type="dxa"/>
            <w:shd w:val="clear" w:color="auto" w:fill="EDEDED"/>
          </w:tcPr>
          <w:p>
            <w:pPr>
              <w:spacing w:after="40"/>
            </w:pPr>
            <w:r>
              <w:rPr>
                <w:rFonts w:ascii="Times New Roman" w:hAnsi="Times New Roman" w:cs="Times New Roman"/>
                <w:sz w:val="18"/>
                <w:szCs w:val="18"/>
              </w:rPr>
              <w:t xml:space="preserve">Status</w:t>
            </w:r>
          </w:p>
        </w:tc>
        <w:tc>
          <w:tcPr>
            <w:tcW w:w="6760" w:type="dxa"/>
          </w:tcPr>
          <w:p>
            <w:pPr>
              <w:spacing w:after="40"/>
            </w:pPr>
            <w:r>
              <w:rPr>
                <w:rFonts w:ascii="Times New Roman" w:hAnsi="Times New Roman" w:cs="Times New Roman"/>
                <w:sz w:val="18"/>
                <w:szCs w:val="18"/>
              </w:rPr>
              <w:t xml:space="preserve">draft</w:t>
            </w:r>
          </w:p>
        </w:tc>
      </w:tr>
      <w:tr>
        <w:trPr>
          <w:cantSplit/>
        </w:trPr>
        <w:tc>
          <w:tcPr>
            <w:tcW w:w="2600" w:type="dxa"/>
            <w:shd w:val="clear" w:color="auto" w:fill="EDEDED"/>
          </w:tcPr>
          <w:p>
            <w:pPr>
              <w:spacing w:after="40"/>
            </w:pPr>
            <w:r>
              <w:rPr>
                <w:rFonts w:ascii="Times New Roman" w:hAnsi="Times New Roman" w:cs="Times New Roman"/>
                <w:sz w:val="18"/>
                <w:szCs w:val="18"/>
              </w:rPr>
              <w:t xml:space="preserve">Created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Last Reviewed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Law Checked</w:t>
            </w:r>
          </w:p>
        </w:tc>
        <w:tc>
          <w:tcPr>
            <w:tcW w:w="6760" w:type="dxa"/>
          </w:tcPr>
          <w:p>
            <w:pPr>
              <w:spacing w:after="40"/>
            </w:pPr>
            <w:r>
              <w:rPr>
                <w:rFonts w:ascii="Times New Roman" w:hAnsi="Times New Roman" w:cs="Times New Roman"/>
                <w:sz w:val="18"/>
                <w:szCs w:val="18"/>
              </w:rPr>
              <w:t xml:space="preserve">2026-09-25 (Apple 5.4 first-hand, EV-106; 31 C.F.R. §501.601 Reported; GDPR and SCC points pending)</w:t>
            </w:r>
          </w:p>
        </w:tc>
      </w:tr>
      <w:tr>
        <w:trPr>
          <w:cantSplit/>
        </w:trPr>
        <w:tc>
          <w:tcPr>
            <w:tcW w:w="2600" w:type="dxa"/>
            <w:shd w:val="clear" w:color="auto" w:fill="EDEDED"/>
          </w:tcPr>
          <w:p>
            <w:pPr>
              <w:spacing w:after="40"/>
            </w:pPr>
            <w:r>
              <w:rPr>
                <w:rFonts w:ascii="Times New Roman" w:hAnsi="Times New Roman" w:cs="Times New Roman"/>
                <w:sz w:val="18"/>
                <w:szCs w:val="18"/>
              </w:rPr>
              <w:t xml:space="preserve">Owner</w:t>
            </w:r>
          </w:p>
        </w:tc>
        <w:tc>
          <w:tcPr>
            <w:tcW w:w="6760" w:type="dxa"/>
          </w:tcPr>
          <w:p>
            <w:pPr>
              <w:spacing w:after="40"/>
            </w:pPr>
            <w:r>
              <w:rPr>
                <w:rFonts w:ascii="Times New Roman" w:hAnsi="Times New Roman" w:cs="Times New Roman"/>
                <w:sz w:val="18"/>
                <w:szCs w:val="18"/>
              </w:rPr>
              <w:t xml:space="preserve">Legal Lead (named person TBD) with Founder</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Needed</w:t>
            </w:r>
          </w:p>
        </w:tc>
        <w:tc>
          <w:tcPr>
            <w:tcW w:w="6760" w:type="dxa"/>
          </w:tcPr>
          <w:p>
            <w:pPr>
              <w:spacing w:after="40"/>
            </w:pPr>
            <w:r>
              <w:rPr>
                <w:rFonts w:ascii="Times New Roman" w:hAnsi="Times New Roman" w:cs="Times New Roman"/>
                <w:sz w:val="18"/>
                <w:szCs w:val="18"/>
              </w:rPr>
              <w:t xml:space="preserve">yes</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Status</w:t>
            </w:r>
          </w:p>
        </w:tc>
        <w:tc>
          <w:tcPr>
            <w:tcW w:w="6760" w:type="dxa"/>
          </w:tcPr>
          <w:p>
            <w:pPr>
              <w:spacing w:after="40"/>
            </w:pPr>
            <w:r>
              <w:rPr>
                <w:rFonts w:ascii="Times New Roman" w:hAnsi="Times New Roman" w:cs="Times New Roman"/>
                <w:sz w:val="18"/>
                <w:szCs w:val="18"/>
              </w:rPr>
              <w:t xml:space="preserve">none</w:t>
            </w:r>
          </w:p>
        </w:tc>
      </w:tr>
      <w:tr>
        <w:trPr>
          <w:cantSplit/>
        </w:trPr>
        <w:tc>
          <w:tcPr>
            <w:tcW w:w="2600" w:type="dxa"/>
            <w:shd w:val="clear" w:color="auto" w:fill="EDEDED"/>
          </w:tcPr>
          <w:p>
            <w:pPr>
              <w:spacing w:after="40"/>
            </w:pPr>
            <w:r>
              <w:rPr>
                <w:rFonts w:ascii="Times New Roman" w:hAnsi="Times New Roman" w:cs="Times New Roman"/>
                <w:sz w:val="18"/>
                <w:szCs w:val="18"/>
              </w:rPr>
              <w:t xml:space="preserve">Confidentiality</w:t>
            </w:r>
          </w:p>
        </w:tc>
        <w:tc>
          <w:tcPr>
            <w:tcW w:w="6760" w:type="dxa"/>
          </w:tcPr>
          <w:p>
            <w:pPr>
              <w:spacing w:after="40"/>
            </w:pPr>
            <w:r>
              <w:rPr>
                <w:rFonts w:ascii="Times New Roman" w:hAnsi="Times New Roman" w:cs="Times New Roman"/>
                <w:sz w:val="18"/>
                <w:szCs w:val="18"/>
              </w:rPr>
              <w:t xml:space="preserve">INTERNAL — LEGAL (Part C becomes PUBLIC when approved)</w:t>
            </w:r>
          </w:p>
        </w:tc>
      </w:tr>
    </w:tbl>
    <w:p>
      <w:pPr>
        <w:spacing w:after="60"/>
      </w:pPr>
    </w:p>
    <w:p>
      <w:pPr>
        <w:shd w:val="clear" w:color="auto" w:fill="F2F2F2"/>
        <w:spacing w:after="240"/>
        <w:jc w:val="center"/>
      </w:pPr>
      <w:r>
        <w:rPr>
          <w:rFonts w:ascii="Times New Roman" w:hAnsi="Times New Roman" w:cs="Times New Roman"/>
          <w:b/>
          <w:bCs/>
          <w:sz w:val="18"/>
          <w:szCs w:val="18"/>
        </w:rPr>
        <w:t xml:space="preserve">DRAFT — PREPARED FOR REVIEW BY LICENSED COUNSEL — NOT LEGAL ADVICE</w:t>
      </w:r>
    </w:p>
    <w:p>
      <w:pPr>
        <w:shd w:val="clear" w:color="auto" w:fill="F7F7F7"/>
        <w:ind w:left="567" w:hanging="0"/>
      </w:pPr>
      <w:r>
        <w:rPr>
          <w:rFonts w:ascii="Times New Roman" w:hAnsi="Times New Roman" w:cs="Times New Roman"/>
          <w:b/>
          <w:bCs/>
          <w:i/>
        </w:rPr>
        <w:t xml:space="preserve">Prepared for review by licensed counsel. Not legal advice.</w:t>
      </w:r>
      <w:r>
        <w:rPr>
          <w:rFonts w:ascii="Times New Roman" w:hAnsi="Times New Roman" w:cs="Times New Roman"/>
          <w:i/>
        </w:rPr>
        <w:t xml:space="preserve"> Part B contains the data-protection terms between HidzoVPN and a Reseller; Part C is a privacy notice for reseller business contacts. Data roles follow the facts, not the contract; the default here (independent controllers, minimal sharing, no per-user data to resellers) must be re-assessed once the reseller model is chosen (POL-RTOS-001 §0). </w:t>
      </w:r>
      <w:r>
        <w:rPr>
          <w:rFonts w:ascii="Times New Roman" w:hAnsi="Times New Roman" w:cs="Times New Roman"/>
          <w:b/>
          <w:bCs/>
          <w:i/>
        </w:rPr>
        <w:t xml:space="preserve">Design constraint:</w:t>
      </w:r>
      <w:r>
        <w:rPr>
          <w:rFonts w:ascii="Times New Roman" w:hAnsi="Times New Roman" w:cs="Times New Roman"/>
          <w:i/>
        </w:rPr>
        <w:t xml:space="preserve"> Apple Guideline 5.4 — VPN apps "may not sell, use, or disclose to third parties any data for any purpose" (EV-106, Verified) — so HidzoVPN shares no End User data with Resellers, except as Section 2 allows for a specific support or fraud case </w:t>
      </w:r>
      <w:r>
        <w:rPr>
          <w:rFonts w:ascii="Consolas" w:hAnsi="Consolas" w:cs="Times New Roman"/>
          <w:i/>
        </w:rPr>
        <w:t xml:space="preserve">[COUNSEL: Apple 5.4 reading]</w:t>
      </w:r>
      <w:r>
        <w:rPr>
          <w:rFonts w:ascii="Times New Roman" w:hAnsi="Times New Roman" w:cs="Times New Roman"/>
          <w:i/>
        </w:rPr>
        <w:t xml:space="preserve">.</w:t>
      </w:r>
    </w:p>
    <w:p>
      <w:pPr>
        <w:pStyle w:val="Heading2"/>
        <w:keepNext/>
      </w:pPr>
      <w:r>
        <w:rPr>
          <w:rFonts w:ascii="Times New Roman" w:hAnsi="Times New Roman" w:cs="Times New Roman"/>
        </w:rPr>
        <w:t xml:space="preserve">Part A — Drafting brief (internal)</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4680"/>
        <w:gridCol w:w="4680"/>
      </w:tblGrid>
      <w:tr>
        <w:trPr>
          <w:tblHeader/>
          <w:cantSplit/>
        </w:trPr>
        <w:tc>
          <w:tcPr>
            <w:tcW w:w="4680" w:type="dxa"/>
            <w:shd w:val="clear" w:color="auto" w:fill="D9D9D9"/>
          </w:tcPr>
          <w:p>
            <w:pPr>
              <w:spacing w:after="40"/>
            </w:pPr>
            <w:r>
              <w:rPr>
                <w:rFonts w:ascii="Times New Roman" w:hAnsi="Times New Roman" w:cs="Times New Roman"/>
                <w:b/>
                <w:bCs/>
                <w:sz w:val="17"/>
                <w:szCs w:val="17"/>
              </w:rPr>
              <w:t xml:space="preserve">Item</w:t>
            </w:r>
          </w:p>
        </w:tc>
        <w:tc>
          <w:tcPr>
            <w:tcW w:w="4680" w:type="dxa"/>
            <w:shd w:val="clear" w:color="auto" w:fill="D9D9D9"/>
          </w:tcPr>
          <w:p>
            <w:pPr>
              <w:spacing w:after="40"/>
            </w:pPr>
            <w:r>
              <w:rPr>
                <w:rFonts w:ascii="Times New Roman" w:hAnsi="Times New Roman" w:cs="Times New Roman"/>
                <w:b/>
                <w:bCs/>
                <w:sz w:val="17"/>
                <w:szCs w:val="17"/>
              </w:rPr>
              <w:t xml:space="preserve">Value</w:t>
            </w:r>
          </w:p>
        </w:tc>
      </w:tr>
      <w:tr>
        <w:trPr>
          <w:cantSplit/>
        </w:trPr>
        <w:tc>
          <w:tcPr>
            <w:tcW w:w="4680" w:type="dxa"/>
          </w:tcPr>
          <w:p>
            <w:pPr>
              <w:spacing w:after="40"/>
            </w:pPr>
            <w:r>
              <w:rPr>
                <w:rFonts w:ascii="Times New Roman" w:hAnsi="Times New Roman" w:cs="Times New Roman"/>
                <w:sz w:val="17"/>
                <w:szCs w:val="17"/>
              </w:rPr>
              <w:t xml:space="preserve">Question presented</w:t>
            </w:r>
          </w:p>
        </w:tc>
        <w:tc>
          <w:tcPr>
            <w:tcW w:w="4680" w:type="dxa"/>
          </w:tcPr>
          <w:p>
            <w:pPr>
              <w:spacing w:after="40"/>
            </w:pPr>
            <w:r>
              <w:rPr>
                <w:rFonts w:ascii="Times New Roman" w:hAnsi="Times New Roman" w:cs="Times New Roman"/>
                <w:sz w:val="17"/>
                <w:szCs w:val="17"/>
              </w:rPr>
              <w:t xml:space="preserve">How do HidzoVPN and a Reseller allocate data-protection responsibilities, while keeping End Users' activations unlinkable to their purchase from a Reseller?</w:t>
            </w:r>
          </w:p>
        </w:tc>
      </w:tr>
      <w:tr>
        <w:trPr>
          <w:cantSplit/>
        </w:trPr>
        <w:tc>
          <w:tcPr>
            <w:tcW w:w="4680" w:type="dxa"/>
          </w:tcPr>
          <w:p>
            <w:pPr>
              <w:spacing w:after="40"/>
            </w:pPr>
            <w:r>
              <w:rPr>
                <w:rFonts w:ascii="Times New Roman" w:hAnsi="Times New Roman" w:cs="Times New Roman"/>
                <w:sz w:val="17"/>
                <w:szCs w:val="17"/>
              </w:rPr>
              <w:t xml:space="preserve">Role test</w:t>
            </w:r>
          </w:p>
        </w:tc>
        <w:tc>
          <w:tcPr>
            <w:tcW w:w="4680" w:type="dxa"/>
          </w:tcPr>
          <w:p>
            <w:pPr>
              <w:spacing w:after="40"/>
            </w:pPr>
            <w:r>
              <w:rPr>
                <w:rFonts w:ascii="Times New Roman" w:hAnsi="Times New Roman" w:cs="Times New Roman"/>
                <w:sz w:val="17"/>
                <w:szCs w:val="17"/>
              </w:rPr>
              <w:t xml:space="preserve">Who determines purposes and means (GDPR Arts. 4(7), 4(8), 26, 28; EDPB Guidelines 07/2020) </w:t>
            </w:r>
            <w:r>
              <w:rPr>
                <w:rFonts w:ascii="Consolas" w:hAnsi="Consolas" w:cs="Times New Roman"/>
                <w:sz w:val="17"/>
                <w:szCs w:val="17"/>
              </w:rPr>
              <w:t xml:space="preserve">[VERIFY: EV-235]</w:t>
            </w:r>
          </w:p>
        </w:tc>
      </w:tr>
      <w:tr>
        <w:trPr>
          <w:cantSplit/>
        </w:trPr>
        <w:tc>
          <w:tcPr>
            <w:tcW w:w="4680" w:type="dxa"/>
          </w:tcPr>
          <w:p>
            <w:pPr>
              <w:spacing w:after="40"/>
            </w:pPr>
            <w:r>
              <w:rPr>
                <w:rFonts w:ascii="Times New Roman" w:hAnsi="Times New Roman" w:cs="Times New Roman"/>
                <w:sz w:val="17"/>
                <w:szCs w:val="17"/>
              </w:rPr>
              <w:t xml:space="preserve">Safety point</w:t>
            </w:r>
          </w:p>
        </w:tc>
        <w:tc>
          <w:tcPr>
            <w:tcW w:w="4680" w:type="dxa"/>
          </w:tcPr>
          <w:p>
            <w:pPr>
              <w:spacing w:after="40"/>
            </w:pPr>
            <w:r>
              <w:rPr>
                <w:rFonts w:ascii="Times New Roman" w:hAnsi="Times New Roman" w:cs="Times New Roman"/>
                <w:sz w:val="17"/>
                <w:szCs w:val="17"/>
              </w:rPr>
              <w:t xml:space="preserve">A reseller in a restrictive country could be compelled to disclose buyer identities; if it could also learn which codes were activated, users could be identified. Section 9 prevents this</w:t>
            </w:r>
          </w:p>
        </w:tc>
      </w:tr>
    </w:tbl>
    <w:p>
      <w:pPr>
        <w:spacing w:after="60"/>
      </w:pPr>
    </w:p>
    <w:p>
      <w:pPr>
        <w:pStyle w:val="Heading2"/>
        <w:keepNext/>
      </w:pPr>
      <w:r>
        <w:rPr>
          <w:rFonts w:ascii="Times New Roman" w:hAnsi="Times New Roman" w:cs="Times New Roman"/>
        </w:rPr>
        <w:t xml:space="preserve">Part B — Reseller Data Protection Terms</w:t>
      </w:r>
    </w:p>
    <w:p>
      <w:pPr>
        <w:jc w:val="both"/>
      </w:pPr>
      <w:r>
        <w:rPr>
          <w:rFonts w:ascii="Times New Roman" w:hAnsi="Times New Roman" w:cs="Times New Roman"/>
        </w:rPr>
        <w:t xml:space="preserve">These Data Protection Terms form part of the Reseller Agreement between HidzoVPN, Inc. ("</w:t>
      </w:r>
      <w:r>
        <w:rPr>
          <w:rFonts w:ascii="Times New Roman" w:hAnsi="Times New Roman" w:cs="Times New Roman"/>
          <w:b/>
          <w:bCs/>
        </w:rPr>
        <w:t xml:space="preserve">HidzoVPN</w:t>
      </w:r>
      <w:r>
        <w:rPr>
          <w:rFonts w:ascii="Times New Roman" w:hAnsi="Times New Roman" w:cs="Times New Roman"/>
        </w:rPr>
        <w:t xml:space="preserve">") and the Reseller.</w:t>
      </w:r>
    </w:p>
    <w:p>
      <w:pPr>
        <w:spacing w:after="60"/>
        <w:ind w:left="720" w:hanging="360"/>
      </w:pPr>
      <w:r>
        <w:rPr>
          <w:rFonts w:ascii="Times New Roman" w:hAnsi="Times New Roman" w:cs="Times New Roman"/>
        </w:rPr>
        <w:t xml:space="preserve">1.	</w:t>
      </w:r>
      <w:r>
        <w:rPr>
          <w:rFonts w:ascii="Times New Roman" w:hAnsi="Times New Roman" w:cs="Times New Roman"/>
          <w:b/>
          <w:bCs/>
        </w:rPr>
        <w:t xml:space="preserve">Roles.</w:t>
      </w:r>
      <w:r>
        <w:rPr>
          <w:rFonts w:ascii="Times New Roman" w:hAnsi="Times New Roman" w:cs="Times New Roman"/>
        </w:rPr>
        <w:t xml:space="preserve"> Each party is an independent controller of the personal data it collects. The Reseller is the controller of the data of its customers that it collects when selling Activation Codes. HidzoVPN is the controller of the data of End Users that it processes when they activate a code and use the service. The parties do not jointly determine the purposes and means of any processing. Before they do so — for example through a co-branded redemption page, joint marketing or a white-label service — they shall agree terms under Article 26 of the GDPR.</w:t>
      </w:r>
    </w:p>
    <w:p>
      <w:pPr>
        <w:spacing w:after="60"/>
        <w:ind w:left="720" w:hanging="360"/>
      </w:pPr>
      <w:r>
        <w:rPr>
          <w:rFonts w:ascii="Times New Roman" w:hAnsi="Times New Roman" w:cs="Times New Roman"/>
        </w:rPr>
        <w:t xml:space="preserve">2.	</w:t>
      </w:r>
      <w:r>
        <w:rPr>
          <w:rFonts w:ascii="Times New Roman" w:hAnsi="Times New Roman" w:cs="Times New Roman"/>
          <w:b/>
          <w:bCs/>
        </w:rPr>
        <w:t xml:space="preserve">Data shared.</w:t>
      </w:r>
      <w:r>
        <w:rPr>
          <w:rFonts w:ascii="Times New Roman" w:hAnsi="Times New Roman" w:cs="Times New Roman"/>
        </w:rPr>
        <w:t xml:space="preserve"> The parties shall share only the following, and only for the purposes stated:</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340"/>
        <w:gridCol w:w="2340"/>
        <w:gridCol w:w="2340"/>
        <w:gridCol w:w="2340"/>
      </w:tblGrid>
      <w:tr>
        <w:trPr>
          <w:tblHeader/>
          <w:cantSplit/>
        </w:trPr>
        <w:tc>
          <w:tcPr>
            <w:tcW w:w="2340" w:type="dxa"/>
            <w:shd w:val="clear" w:color="auto" w:fill="D9D9D9"/>
          </w:tcPr>
          <w:p>
            <w:pPr>
              <w:spacing w:after="40"/>
            </w:pPr>
            <w:r>
              <w:rPr>
                <w:rFonts w:ascii="Times New Roman" w:hAnsi="Times New Roman" w:cs="Times New Roman"/>
                <w:b/>
                <w:bCs/>
                <w:sz w:val="17"/>
                <w:szCs w:val="17"/>
              </w:rPr>
              <w:t xml:space="preserve">From</w:t>
            </w:r>
          </w:p>
        </w:tc>
        <w:tc>
          <w:tcPr>
            <w:tcW w:w="2340" w:type="dxa"/>
            <w:shd w:val="clear" w:color="auto" w:fill="D9D9D9"/>
          </w:tcPr>
          <w:p>
            <w:pPr>
              <w:spacing w:after="40"/>
            </w:pPr>
            <w:r>
              <w:rPr>
                <w:rFonts w:ascii="Times New Roman" w:hAnsi="Times New Roman" w:cs="Times New Roman"/>
                <w:b/>
                <w:bCs/>
                <w:sz w:val="17"/>
                <w:szCs w:val="17"/>
              </w:rPr>
              <w:t xml:space="preserve">To</w:t>
            </w:r>
          </w:p>
        </w:tc>
        <w:tc>
          <w:tcPr>
            <w:tcW w:w="2340" w:type="dxa"/>
            <w:shd w:val="clear" w:color="auto" w:fill="D9D9D9"/>
          </w:tcPr>
          <w:p>
            <w:pPr>
              <w:spacing w:after="40"/>
            </w:pPr>
            <w:r>
              <w:rPr>
                <w:rFonts w:ascii="Times New Roman" w:hAnsi="Times New Roman" w:cs="Times New Roman"/>
                <w:b/>
                <w:bCs/>
                <w:sz w:val="17"/>
                <w:szCs w:val="17"/>
              </w:rPr>
              <w:t xml:space="preserve">Data</w:t>
            </w:r>
          </w:p>
        </w:tc>
        <w:tc>
          <w:tcPr>
            <w:tcW w:w="2340" w:type="dxa"/>
            <w:shd w:val="clear" w:color="auto" w:fill="D9D9D9"/>
          </w:tcPr>
          <w:p>
            <w:pPr>
              <w:spacing w:after="40"/>
            </w:pPr>
            <w:r>
              <w:rPr>
                <w:rFonts w:ascii="Times New Roman" w:hAnsi="Times New Roman" w:cs="Times New Roman"/>
                <w:b/>
                <w:bCs/>
                <w:sz w:val="17"/>
                <w:szCs w:val="17"/>
              </w:rPr>
              <w:t xml:space="preserve">Purpose</w:t>
            </w:r>
          </w:p>
        </w:tc>
      </w:tr>
      <w:tr>
        <w:trPr>
          <w:cantSplit/>
        </w:trPr>
        <w:tc>
          <w:tcPr>
            <w:tcW w:w="2340" w:type="dxa"/>
          </w:tcPr>
          <w:p>
            <w:pPr>
              <w:spacing w:after="40"/>
            </w:pPr>
            <w:r>
              <w:rPr>
                <w:rFonts w:ascii="Times New Roman" w:hAnsi="Times New Roman" w:cs="Times New Roman"/>
                <w:sz w:val="17"/>
                <w:szCs w:val="17"/>
              </w:rPr>
              <w:t xml:space="preserve">HidzoVPN</w:t>
            </w:r>
          </w:p>
        </w:tc>
        <w:tc>
          <w:tcPr>
            <w:tcW w:w="2340" w:type="dxa"/>
          </w:tcPr>
          <w:p>
            <w:pPr>
              <w:spacing w:after="40"/>
            </w:pPr>
            <w:r>
              <w:rPr>
                <w:rFonts w:ascii="Times New Roman" w:hAnsi="Times New Roman" w:cs="Times New Roman"/>
                <w:sz w:val="17"/>
                <w:szCs w:val="17"/>
              </w:rPr>
              <w:t xml:space="preserve">Reseller</w:t>
            </w:r>
          </w:p>
        </w:tc>
        <w:tc>
          <w:tcPr>
            <w:tcW w:w="2340" w:type="dxa"/>
          </w:tcPr>
          <w:p>
            <w:pPr>
              <w:spacing w:after="40"/>
            </w:pPr>
            <w:r>
              <w:rPr>
                <w:rFonts w:ascii="Times New Roman" w:hAnsi="Times New Roman" w:cs="Times New Roman"/>
                <w:sz w:val="17"/>
                <w:szCs w:val="17"/>
              </w:rPr>
              <w:t xml:space="preserve">Activation Codes; aggregate counts of activated and unactivated codes per batch</w:t>
            </w:r>
          </w:p>
        </w:tc>
        <w:tc>
          <w:tcPr>
            <w:tcW w:w="2340" w:type="dxa"/>
          </w:tcPr>
          <w:p>
            <w:pPr>
              <w:spacing w:after="40"/>
            </w:pPr>
            <w:r>
              <w:rPr>
                <w:rFonts w:ascii="Times New Roman" w:hAnsi="Times New Roman" w:cs="Times New Roman"/>
                <w:sz w:val="17"/>
                <w:szCs w:val="17"/>
              </w:rPr>
              <w:t xml:space="preserve">Supply and reconciliation</w:t>
            </w:r>
          </w:p>
        </w:tc>
      </w:tr>
      <w:tr>
        <w:trPr>
          <w:cantSplit/>
        </w:trPr>
        <w:tc>
          <w:tcPr>
            <w:tcW w:w="2340" w:type="dxa"/>
          </w:tcPr>
          <w:p>
            <w:pPr>
              <w:spacing w:after="40"/>
            </w:pPr>
            <w:r>
              <w:rPr>
                <w:rFonts w:ascii="Times New Roman" w:hAnsi="Times New Roman" w:cs="Times New Roman"/>
                <w:sz w:val="17"/>
                <w:szCs w:val="17"/>
              </w:rPr>
              <w:t xml:space="preserve">Reseller</w:t>
            </w:r>
          </w:p>
        </w:tc>
        <w:tc>
          <w:tcPr>
            <w:tcW w:w="2340" w:type="dxa"/>
          </w:tcPr>
          <w:p>
            <w:pPr>
              <w:spacing w:after="40"/>
            </w:pPr>
            <w:r>
              <w:rPr>
                <w:rFonts w:ascii="Times New Roman" w:hAnsi="Times New Roman" w:cs="Times New Roman"/>
                <w:sz w:val="17"/>
                <w:szCs w:val="17"/>
              </w:rPr>
              <w:t xml:space="preserve">HidzoVPN</w:t>
            </w:r>
          </w:p>
        </w:tc>
        <w:tc>
          <w:tcPr>
            <w:tcW w:w="2340" w:type="dxa"/>
          </w:tcPr>
          <w:p>
            <w:pPr>
              <w:spacing w:after="40"/>
            </w:pPr>
            <w:r>
              <w:rPr>
                <w:rFonts w:ascii="Times New Roman" w:hAnsi="Times New Roman" w:cs="Times New Roman"/>
                <w:sz w:val="17"/>
                <w:szCs w:val="17"/>
              </w:rPr>
              <w:t xml:space="preserve">Business contact details of the Reseller's staff</w:t>
            </w:r>
          </w:p>
        </w:tc>
        <w:tc>
          <w:tcPr>
            <w:tcW w:w="2340" w:type="dxa"/>
          </w:tcPr>
          <w:p>
            <w:pPr>
              <w:spacing w:after="40"/>
            </w:pPr>
            <w:r>
              <w:rPr>
                <w:rFonts w:ascii="Times New Roman" w:hAnsi="Times New Roman" w:cs="Times New Roman"/>
                <w:sz w:val="17"/>
                <w:szCs w:val="17"/>
              </w:rPr>
              <w:t xml:space="preserve">Account management; sanctions and anti-fraud screening</w:t>
            </w:r>
          </w:p>
        </w:tc>
      </w:tr>
      <w:tr>
        <w:trPr>
          <w:cantSplit/>
        </w:trPr>
        <w:tc>
          <w:tcPr>
            <w:tcW w:w="2340" w:type="dxa"/>
          </w:tcPr>
          <w:p>
            <w:pPr>
              <w:spacing w:after="40"/>
            </w:pPr>
            <w:r>
              <w:rPr>
                <w:rFonts w:ascii="Times New Roman" w:hAnsi="Times New Roman" w:cs="Times New Roman"/>
                <w:sz w:val="17"/>
                <w:szCs w:val="17"/>
              </w:rPr>
              <w:t xml:space="preserve">Either party</w:t>
            </w:r>
          </w:p>
        </w:tc>
        <w:tc>
          <w:tcPr>
            <w:tcW w:w="2340" w:type="dxa"/>
          </w:tcPr>
          <w:p>
            <w:pPr>
              <w:spacing w:after="40"/>
            </w:pPr>
            <w:r>
              <w:rPr>
                <w:rFonts w:ascii="Times New Roman" w:hAnsi="Times New Roman" w:cs="Times New Roman"/>
                <w:sz w:val="17"/>
                <w:szCs w:val="17"/>
              </w:rPr>
              <w:t xml:space="preserve">The other</w:t>
            </w:r>
          </w:p>
        </w:tc>
        <w:tc>
          <w:tcPr>
            <w:tcW w:w="2340" w:type="dxa"/>
          </w:tcPr>
          <w:p>
            <w:pPr>
              <w:spacing w:after="40"/>
            </w:pPr>
            <w:r>
              <w:rPr>
                <w:rFonts w:ascii="Times New Roman" w:hAnsi="Times New Roman" w:cs="Times New Roman"/>
                <w:sz w:val="17"/>
                <w:szCs w:val="17"/>
              </w:rPr>
              <w:t xml:space="preserve">End User contact details needed to resolve a specific support or fraud case, where the End User has asked for help or fraud is suspected</w:t>
            </w:r>
          </w:p>
        </w:tc>
        <w:tc>
          <w:tcPr>
            <w:tcW w:w="2340" w:type="dxa"/>
          </w:tcPr>
          <w:p>
            <w:pPr>
              <w:spacing w:after="40"/>
            </w:pPr>
            <w:r>
              <w:rPr>
                <w:rFonts w:ascii="Times New Roman" w:hAnsi="Times New Roman" w:cs="Times New Roman"/>
                <w:sz w:val="17"/>
                <w:szCs w:val="17"/>
              </w:rPr>
              <w:t xml:space="preserve">Resolving that case only; deleted within </w:t>
            </w:r>
            <w:r>
              <w:rPr>
                <w:rFonts w:ascii="Consolas" w:hAnsi="Consolas" w:cs="Times New Roman"/>
                <w:sz w:val="17"/>
                <w:szCs w:val="17"/>
              </w:rPr>
              <w:t xml:space="preserve">[OPEN: 30]</w:t>
            </w:r>
            <w:r>
              <w:rPr>
                <w:rFonts w:ascii="Times New Roman" w:hAnsi="Times New Roman" w:cs="Times New Roman"/>
                <w:sz w:val="17"/>
                <w:szCs w:val="17"/>
              </w:rPr>
              <w:t xml:space="preserve"> days after the case is closed</w:t>
            </w:r>
          </w:p>
        </w:tc>
      </w:tr>
    </w:tbl>
    <w:p>
      <w:pPr>
        <w:spacing w:after="60"/>
      </w:pPr>
    </w:p>
    <w:p>
      <w:pPr>
        <w:spacing w:after="60"/>
        <w:ind w:left="720" w:hanging="360"/>
      </w:pPr>
      <w:r>
        <w:rPr>
          <w:rFonts w:ascii="Times New Roman" w:hAnsi="Times New Roman" w:cs="Times New Roman"/>
        </w:rPr>
        <w:t xml:space="preserve">3.	</w:t>
      </w:r>
      <w:r>
        <w:rPr>
          <w:rFonts w:ascii="Times New Roman" w:hAnsi="Times New Roman" w:cs="Times New Roman"/>
          <w:b/>
          <w:bCs/>
        </w:rPr>
        <w:t xml:space="preserve">Minimization.</w:t>
      </w:r>
      <w:r>
        <w:rPr>
          <w:rFonts w:ascii="Times New Roman" w:hAnsi="Times New Roman" w:cs="Times New Roman"/>
        </w:rPr>
        <w:t xml:space="preserve"> Each party shall collect and share only the data needed for the purposes in Section 2.</w:t>
      </w:r>
    </w:p>
    <w:p>
      <w:pPr>
        <w:spacing w:after="60"/>
        <w:ind w:left="720" w:hanging="360"/>
      </w:pPr>
      <w:r>
        <w:rPr>
          <w:rFonts w:ascii="Times New Roman" w:hAnsi="Times New Roman" w:cs="Times New Roman"/>
        </w:rPr>
        <w:t xml:space="preserve">4.	</w:t>
      </w:r>
      <w:r>
        <w:rPr>
          <w:rFonts w:ascii="Times New Roman" w:hAnsi="Times New Roman" w:cs="Times New Roman"/>
          <w:b/>
          <w:bCs/>
        </w:rPr>
        <w:t xml:space="preserve">Compliance.</w:t>
      </w:r>
      <w:r>
        <w:rPr>
          <w:rFonts w:ascii="Times New Roman" w:hAnsi="Times New Roman" w:cs="Times New Roman"/>
        </w:rPr>
        <w:t xml:space="preserve"> Each party shall comply with the data-protection laws that apply to it, give its own privacy notice to the persons whose data it collects, and have a lawful basis for any sharing.</w:t>
      </w:r>
    </w:p>
    <w:p>
      <w:pPr>
        <w:spacing w:after="60"/>
        <w:ind w:left="720" w:hanging="360"/>
      </w:pPr>
      <w:r>
        <w:rPr>
          <w:rFonts w:ascii="Times New Roman" w:hAnsi="Times New Roman" w:cs="Times New Roman"/>
        </w:rPr>
        <w:t xml:space="preserve">5.	</w:t>
      </w:r>
      <w:r>
        <w:rPr>
          <w:rFonts w:ascii="Times New Roman" w:hAnsi="Times New Roman" w:cs="Times New Roman"/>
          <w:b/>
          <w:bCs/>
        </w:rPr>
        <w:t xml:space="preserve">Security and breaches.</w:t>
      </w:r>
      <w:r>
        <w:rPr>
          <w:rFonts w:ascii="Times New Roman" w:hAnsi="Times New Roman" w:cs="Times New Roman"/>
        </w:rPr>
        <w:t xml:space="preserve"> Each party shall protect shared data with appropriate technical and organizational measures and shall notify the other without undue delay, and in any case within </w:t>
      </w:r>
      <w:r>
        <w:rPr>
          <w:rFonts w:ascii="Consolas" w:hAnsi="Consolas" w:cs="Times New Roman"/>
        </w:rPr>
        <w:t xml:space="preserve">[OPEN: 72]</w:t>
      </w:r>
      <w:r>
        <w:rPr>
          <w:rFonts w:ascii="Times New Roman" w:hAnsi="Times New Roman" w:cs="Times New Roman"/>
        </w:rPr>
        <w:t xml:space="preserve"> hours, after becoming aware of a breach affecting shared data.</w:t>
      </w:r>
    </w:p>
    <w:p>
      <w:pPr>
        <w:spacing w:after="60"/>
        <w:ind w:left="720" w:hanging="360"/>
      </w:pPr>
      <w:r>
        <w:rPr>
          <w:rFonts w:ascii="Times New Roman" w:hAnsi="Times New Roman" w:cs="Times New Roman"/>
        </w:rPr>
        <w:t xml:space="preserve">6.	</w:t>
      </w:r>
      <w:r>
        <w:rPr>
          <w:rFonts w:ascii="Times New Roman" w:hAnsi="Times New Roman" w:cs="Times New Roman"/>
          <w:b/>
          <w:bCs/>
        </w:rPr>
        <w:t xml:space="preserve">Requests from individuals and authorities.</w:t>
      </w:r>
      <w:r>
        <w:rPr>
          <w:rFonts w:ascii="Times New Roman" w:hAnsi="Times New Roman" w:cs="Times New Roman"/>
        </w:rPr>
        <w:t xml:space="preserve"> Each party shall handle requests relating to the data it controls. If a party receives a request that concerns the other party's data, it shall forward it promptly. The Reseller shall not represent to any person or authority that it can obtain HidzoVPN account data.</w:t>
      </w:r>
    </w:p>
    <w:p>
      <w:pPr>
        <w:spacing w:after="60"/>
        <w:ind w:left="720" w:hanging="360"/>
      </w:pPr>
      <w:r>
        <w:rPr>
          <w:rFonts w:ascii="Times New Roman" w:hAnsi="Times New Roman" w:cs="Times New Roman"/>
        </w:rPr>
        <w:t xml:space="preserve">7.	</w:t>
      </w:r>
      <w:r>
        <w:rPr>
          <w:rFonts w:ascii="Times New Roman" w:hAnsi="Times New Roman" w:cs="Times New Roman"/>
          <w:b/>
          <w:bCs/>
        </w:rPr>
        <w:t xml:space="preserve">International transfers.</w:t>
      </w:r>
      <w:r>
        <w:rPr>
          <w:rFonts w:ascii="Times New Roman" w:hAnsi="Times New Roman" w:cs="Times New Roman"/>
        </w:rPr>
        <w:t xml:space="preserve"> Where a transfer of personal data between the parties from the European Economic Area, the United Kingdom or Switzerland requires safeguards, the parties shall sign the Standard Contractual Clauses in Schedule 1 </w:t>
      </w:r>
      <w:r>
        <w:rPr>
          <w:rFonts w:ascii="Consolas" w:hAnsi="Consolas" w:cs="Times New Roman"/>
        </w:rPr>
        <w:t xml:space="preserve">[COUNSEL: Module 1 of Decision (EU) 2021/914, with Annexes I–III completed; Clause 17 governing law and Clause 18 forum of an EU Member State; UK Addendum or IDTA; Swiss adaptation; HidzoVPN's status under GDPR Art. 3(2)]</w:t>
      </w:r>
      <w:r>
        <w:rPr>
          <w:rFonts w:ascii="Times New Roman" w:hAnsi="Times New Roman" w:cs="Times New Roman"/>
        </w:rPr>
        <w:t xml:space="preserve">. The Standard Contractual Clauses prevail over the Reseller Agreement to the extent of any conflict, including on governing law. </w:t>
      </w:r>
      <w:r>
        <w:rPr>
          <w:rFonts w:ascii="Consolas" w:hAnsi="Consolas" w:cs="Times New Roman"/>
        </w:rPr>
        <w:t xml:space="preserve">[COUNSEL: local transfer instruments for the Reseller's country — e.g. Turkey, UAE, Indonesia, Brazil, Saudi Arabia]</w:t>
      </w:r>
    </w:p>
    <w:p>
      <w:pPr>
        <w:spacing w:after="60"/>
        <w:ind w:left="720" w:hanging="360"/>
      </w:pPr>
      <w:r>
        <w:rPr>
          <w:rFonts w:ascii="Times New Roman" w:hAnsi="Times New Roman" w:cs="Times New Roman"/>
        </w:rPr>
        <w:t xml:space="preserve">8.	</w:t>
      </w:r>
      <w:r>
        <w:rPr>
          <w:rFonts w:ascii="Times New Roman" w:hAnsi="Times New Roman" w:cs="Times New Roman"/>
          <w:b/>
          <w:bCs/>
        </w:rPr>
        <w:t xml:space="preserve">No sale; no marketing use.</w:t>
      </w:r>
      <w:r>
        <w:rPr>
          <w:rFonts w:ascii="Times New Roman" w:hAnsi="Times New Roman" w:cs="Times New Roman"/>
        </w:rPr>
        <w:t xml:space="preserve"> Neither party shall sell data received from the other or use it for marketing.</w:t>
      </w:r>
    </w:p>
    <w:p>
      <w:pPr>
        <w:spacing w:after="60"/>
        <w:ind w:left="720" w:hanging="360"/>
      </w:pPr>
      <w:r>
        <w:rPr>
          <w:rFonts w:ascii="Times New Roman" w:hAnsi="Times New Roman" w:cs="Times New Roman"/>
        </w:rPr>
        <w:t xml:space="preserve">9.	</w:t>
      </w:r>
      <w:r>
        <w:rPr>
          <w:rFonts w:ascii="Times New Roman" w:hAnsi="Times New Roman" w:cs="Times New Roman"/>
          <w:b/>
          <w:bCs/>
        </w:rPr>
        <w:t xml:space="preserve">Unlinkability.</w:t>
      </w:r>
      <w:r>
        <w:rPr>
          <w:rFonts w:ascii="Times New Roman" w:hAnsi="Times New Roman" w:cs="Times New Roman"/>
        </w:rPr>
        <w:t xml:space="preserve"> HidzoVPN shall not disclose to the Reseller whether, when or by which account a particular Activation Code was activated. The Reseller shall not ask End Users for their HidzoVPN account details.</w:t>
      </w:r>
    </w:p>
    <w:p>
      <w:pPr>
        <w:spacing w:after="60"/>
        <w:ind w:left="720" w:hanging="360"/>
      </w:pPr>
      <w:r>
        <w:rPr>
          <w:rFonts w:ascii="Times New Roman" w:hAnsi="Times New Roman" w:cs="Times New Roman"/>
        </w:rPr>
        <w:t xml:space="preserve">10.	</w:t>
      </w:r>
      <w:r>
        <w:rPr>
          <w:rFonts w:ascii="Times New Roman" w:hAnsi="Times New Roman" w:cs="Times New Roman"/>
          <w:b/>
          <w:bCs/>
        </w:rPr>
        <w:t xml:space="preserve">Return and deletion.</w:t>
      </w:r>
      <w:r>
        <w:rPr>
          <w:rFonts w:ascii="Times New Roman" w:hAnsi="Times New Roman" w:cs="Times New Roman"/>
        </w:rPr>
        <w:t xml:space="preserve"> On termination of the Reseller Agreement, each party shall delete or return personal data received from the other, unless the law requires it to be kept.</w:t>
      </w:r>
    </w:p>
    <w:p>
      <w:pPr>
        <w:spacing w:after="60"/>
        <w:ind w:left="720" w:hanging="360"/>
      </w:pPr>
      <w:r>
        <w:rPr>
          <w:rFonts w:ascii="Times New Roman" w:hAnsi="Times New Roman" w:cs="Times New Roman"/>
        </w:rPr>
        <w:t xml:space="preserve">11.	</w:t>
      </w:r>
      <w:r>
        <w:rPr>
          <w:rFonts w:ascii="Times New Roman" w:hAnsi="Times New Roman" w:cs="Times New Roman"/>
          <w:b/>
          <w:bCs/>
        </w:rPr>
        <w:t xml:space="preserve">Cooperation and audit.</w:t>
      </w:r>
      <w:r>
        <w:rPr>
          <w:rFonts w:ascii="Times New Roman" w:hAnsi="Times New Roman" w:cs="Times New Roman"/>
        </w:rPr>
        <w:t xml:space="preserve"> Each party shall cooperate reasonably with the other in responding to a supervisory authority and shall give the other, on reasonable notice, the information needed to show compliance with these Terms.</w:t>
      </w:r>
    </w:p>
    <w:p>
      <w:pPr>
        <w:spacing w:after="60"/>
        <w:ind w:left="720" w:hanging="360"/>
      </w:pPr>
      <w:r>
        <w:rPr>
          <w:rFonts w:ascii="Times New Roman" w:hAnsi="Times New Roman" w:cs="Times New Roman"/>
        </w:rPr>
        <w:t xml:space="preserve">12.	</w:t>
      </w:r>
      <w:r>
        <w:rPr>
          <w:rFonts w:ascii="Times New Roman" w:hAnsi="Times New Roman" w:cs="Times New Roman"/>
          <w:b/>
          <w:bCs/>
        </w:rPr>
        <w:t xml:space="preserve">Duration.</w:t>
      </w:r>
      <w:r>
        <w:rPr>
          <w:rFonts w:ascii="Times New Roman" w:hAnsi="Times New Roman" w:cs="Times New Roman"/>
        </w:rPr>
        <w:t xml:space="preserve"> These Terms apply for as long as either party holds data shared under the Reseller Agreement.</w:t>
      </w:r>
    </w:p>
    <w:p>
      <w:pPr>
        <w:jc w:val="both"/>
      </w:pPr>
      <w:r>
        <w:rPr>
          <w:rFonts w:ascii="Times New Roman" w:hAnsi="Times New Roman" w:cs="Times New Roman"/>
          <w:b/>
          <w:bCs/>
        </w:rPr>
        <w:t xml:space="preserve">Schedule 1 — Standard Contractual Clauses</w:t>
      </w:r>
      <w:r>
        <w:rPr>
          <w:rFonts w:ascii="Times New Roman" w:hAnsi="Times New Roman" w:cs="Times New Roman"/>
        </w:rPr>
        <w:t xml:space="preserve"> </w:t>
      </w:r>
      <w:r>
        <w:rPr>
          <w:rFonts w:ascii="Consolas" w:hAnsi="Consolas" w:cs="Times New Roman"/>
        </w:rPr>
        <w:t xml:space="preserve">[COUNSEL: to be completed]</w:t>
      </w:r>
    </w:p>
    <w:p>
      <w:pPr>
        <w:pStyle w:val="Heading2"/>
        <w:keepNext/>
      </w:pPr>
      <w:r>
        <w:rPr>
          <w:rFonts w:ascii="Times New Roman" w:hAnsi="Times New Roman" w:cs="Times New Roman"/>
        </w:rPr>
        <w:t xml:space="preserve">Part C — Privacy notice for reseller business contacts</w:t>
      </w:r>
    </w:p>
    <w:p>
      <w:pPr>
        <w:jc w:val="both"/>
      </w:pPr>
      <w:r>
        <w:rPr>
          <w:rFonts w:ascii="Times New Roman" w:hAnsi="Times New Roman" w:cs="Times New Roman"/>
        </w:rPr>
        <w:t xml:space="preserve">HidzoVPN, Inc., 7901 4th Street North, Suite 9375, Saint Petersburg, FL 33702, United States, processes the names, business email addresses, phone numbers and job titles of people who work for our resellers, which we receive from you or from your employer, and records of our communications with you. We use this information to manage the reseller relationship, process orders and payments, carry out sanctions and anti-fraud screening, and meet our obligations. Our legal bases are the performance of the Reseller Agreement and our legitimate interests in managing our business relationships and in complying with the sanctions laws that apply to us </w:t>
      </w:r>
      <w:r>
        <w:rPr>
          <w:rFonts w:ascii="Consolas" w:hAnsi="Consolas" w:cs="Times New Roman"/>
        </w:rPr>
        <w:t xml:space="preserve">[COUNSEL: GDPR Art. 10 and member-state law for screening data]</w:t>
      </w:r>
      <w:r>
        <w:rPr>
          <w:rFonts w:ascii="Times New Roman" w:hAnsi="Times New Roman" w:cs="Times New Roman"/>
        </w:rPr>
        <w:t xml:space="preserve">. We keep this information for the duration of the relationship and for </w:t>
      </w:r>
      <w:r>
        <w:rPr>
          <w:rFonts w:ascii="Consolas" w:hAnsi="Consolas" w:cs="Times New Roman"/>
        </w:rPr>
        <w:t xml:space="preserve">[OPEN: 7]</w:t>
      </w:r>
      <w:r>
        <w:rPr>
          <w:rFonts w:ascii="Times New Roman" w:hAnsi="Times New Roman" w:cs="Times New Roman"/>
        </w:rPr>
        <w:t xml:space="preserve"> years after it ends, and sanctions-screening records for 10 years </w:t>
      </w:r>
      <w:r>
        <w:rPr>
          <w:rFonts w:ascii="Consolas" w:hAnsi="Consolas" w:cs="Times New Roman"/>
        </w:rPr>
        <w:t xml:space="preserve">[31 C.F.R. §501.601 — Reported]</w:t>
      </w:r>
      <w:r>
        <w:rPr>
          <w:rFonts w:ascii="Times New Roman" w:hAnsi="Times New Roman" w:cs="Times New Roman"/>
        </w:rPr>
        <w:t xml:space="preserve">. We transfer it to the United States </w:t>
      </w:r>
      <w:r>
        <w:rPr>
          <w:rFonts w:ascii="Consolas" w:hAnsi="Consolas" w:cs="Times New Roman"/>
        </w:rPr>
        <w:t xml:space="preserve">[COUNSEL: safeguard]</w:t>
      </w:r>
      <w:r>
        <w:rPr>
          <w:rFonts w:ascii="Times New Roman" w:hAnsi="Times New Roman" w:cs="Times New Roman"/>
        </w:rPr>
        <w:t xml:space="preserve"> and share it with our service providers and, where required, with authorities. You may have rights to access, correct and delete your information, to object to our use of it, and to complain to a data-protection authority. Contact </w:t>
      </w:r>
      <w:r>
        <w:rPr>
          <w:rFonts w:ascii="Consolas" w:hAnsi="Consolas" w:cs="Times New Roman"/>
        </w:rPr>
        <w:t xml:space="preserve">[OPEN: privacy@hidzovpn.com]</w:t>
      </w:r>
      <w:r>
        <w:rPr>
          <w:rFonts w:ascii="Times New Roman" w:hAnsi="Times New Roman" w:cs="Times New Roman"/>
        </w:rPr>
        <w:t xml:space="preserve">.</w:t>
      </w:r>
    </w:p>
    <w:p>
      <w:pPr>
        <w:pStyle w:val="Heading2"/>
        <w:keepNext/>
      </w:pPr>
      <w:r>
        <w:rPr>
          <w:rFonts w:ascii="Times New Roman" w:hAnsi="Times New Roman" w:cs="Times New Roman"/>
        </w:rPr>
        <w:t xml:space="preserve">Part D — Drafting notes (internal)</w:t>
      </w:r>
    </w:p>
    <w:p>
      <w:pPr>
        <w:pStyle w:val="Heading3"/>
        <w:keepNext/>
      </w:pPr>
      <w:r>
        <w:rPr>
          <w:rFonts w:ascii="Times New Roman" w:hAnsi="Times New Roman" w:cs="Times New Roman"/>
        </w:rPr>
        <w:t xml:space="preserve">D.1 Sources</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3120"/>
        <w:gridCol w:w="3120"/>
        <w:gridCol w:w="3120"/>
      </w:tblGrid>
      <w:tr>
        <w:trPr>
          <w:tblHeader/>
          <w:cantSplit/>
        </w:trPr>
        <w:tc>
          <w:tcPr>
            <w:tcW w:w="3120" w:type="dxa"/>
            <w:shd w:val="clear" w:color="auto" w:fill="D9D9D9"/>
          </w:tcPr>
          <w:p>
            <w:pPr>
              <w:spacing w:after="40"/>
            </w:pPr>
            <w:r>
              <w:rPr>
                <w:rFonts w:ascii="Times New Roman" w:hAnsi="Times New Roman" w:cs="Times New Roman"/>
                <w:b/>
                <w:bCs/>
                <w:sz w:val="17"/>
                <w:szCs w:val="17"/>
              </w:rPr>
              <w:t xml:space="preserve">Element</w:t>
            </w:r>
          </w:p>
        </w:tc>
        <w:tc>
          <w:tcPr>
            <w:tcW w:w="3120" w:type="dxa"/>
            <w:shd w:val="clear" w:color="auto" w:fill="D9D9D9"/>
          </w:tcPr>
          <w:p>
            <w:pPr>
              <w:spacing w:after="40"/>
            </w:pPr>
            <w:r>
              <w:rPr>
                <w:rFonts w:ascii="Times New Roman" w:hAnsi="Times New Roman" w:cs="Times New Roman"/>
                <w:b/>
                <w:bCs/>
                <w:sz w:val="17"/>
                <w:szCs w:val="17"/>
              </w:rPr>
              <w:t xml:space="preserve">Basis</w:t>
            </w:r>
          </w:p>
        </w:tc>
        <w:tc>
          <w:tcPr>
            <w:tcW w:w="3120" w:type="dxa"/>
            <w:shd w:val="clear" w:color="auto" w:fill="D9D9D9"/>
          </w:tcPr>
          <w:p>
            <w:pPr>
              <w:spacing w:after="40"/>
            </w:pPr>
            <w:r>
              <w:rPr>
                <w:rFonts w:ascii="Times New Roman" w:hAnsi="Times New Roman" w:cs="Times New Roman"/>
                <w:b/>
                <w:bCs/>
                <w:sz w:val="17"/>
                <w:szCs w:val="17"/>
              </w:rPr>
              <w:t xml:space="preserve">Label</w:t>
            </w:r>
          </w:p>
        </w:tc>
      </w:tr>
      <w:tr>
        <w:trPr>
          <w:cantSplit/>
        </w:trPr>
        <w:tc>
          <w:tcPr>
            <w:tcW w:w="3120" w:type="dxa"/>
          </w:tcPr>
          <w:p>
            <w:pPr>
              <w:spacing w:after="40"/>
            </w:pPr>
            <w:r>
              <w:rPr>
                <w:rFonts w:ascii="Times New Roman" w:hAnsi="Times New Roman" w:cs="Times New Roman"/>
                <w:sz w:val="17"/>
                <w:szCs w:val="17"/>
              </w:rPr>
              <w:t xml:space="preserve">No third-party disclosure by VPN apps</w:t>
            </w:r>
          </w:p>
        </w:tc>
        <w:tc>
          <w:tcPr>
            <w:tcW w:w="3120" w:type="dxa"/>
          </w:tcPr>
          <w:p>
            <w:pPr>
              <w:spacing w:after="40"/>
            </w:pPr>
            <w:r>
              <w:rPr>
                <w:rFonts w:ascii="Times New Roman" w:hAnsi="Times New Roman" w:cs="Times New Roman"/>
                <w:sz w:val="17"/>
                <w:szCs w:val="17"/>
              </w:rPr>
              <w:t xml:space="preserve">Apple Guideline 5.4</w:t>
            </w:r>
          </w:p>
        </w:tc>
        <w:tc>
          <w:tcPr>
            <w:tcW w:w="3120" w:type="dxa"/>
          </w:tcPr>
          <w:p>
            <w:pPr>
              <w:spacing w:after="40"/>
            </w:pPr>
            <w:r>
              <w:rPr>
                <w:rFonts w:ascii="Times New Roman" w:hAnsi="Times New Roman" w:cs="Times New Roman"/>
                <w:sz w:val="17"/>
                <w:szCs w:val="17"/>
              </w:rPr>
              <w:t xml:space="preserve">Verified (EV-106)</w:t>
            </w:r>
          </w:p>
        </w:tc>
      </w:tr>
      <w:tr>
        <w:trPr>
          <w:cantSplit/>
        </w:trPr>
        <w:tc>
          <w:tcPr>
            <w:tcW w:w="3120" w:type="dxa"/>
          </w:tcPr>
          <w:p>
            <w:pPr>
              <w:spacing w:after="40"/>
            </w:pPr>
            <w:r>
              <w:rPr>
                <w:rFonts w:ascii="Times New Roman" w:hAnsi="Times New Roman" w:cs="Times New Roman"/>
                <w:sz w:val="17"/>
                <w:szCs w:val="17"/>
              </w:rPr>
              <w:t xml:space="preserve">Role test</w:t>
            </w:r>
          </w:p>
        </w:tc>
        <w:tc>
          <w:tcPr>
            <w:tcW w:w="3120" w:type="dxa"/>
          </w:tcPr>
          <w:p>
            <w:pPr>
              <w:spacing w:after="40"/>
            </w:pPr>
            <w:r>
              <w:rPr>
                <w:rFonts w:ascii="Times New Roman" w:hAnsi="Times New Roman" w:cs="Times New Roman"/>
                <w:sz w:val="17"/>
                <w:szCs w:val="17"/>
              </w:rPr>
              <w:t xml:space="preserve">GDPR Arts. 4(7), 4(8), 26, 28; EDPB Guidelines 07/2020</w:t>
            </w:r>
          </w:p>
        </w:tc>
        <w:tc>
          <w:tcPr>
            <w:tcW w:w="3120" w:type="dxa"/>
          </w:tcPr>
          <w:p>
            <w:pPr>
              <w:spacing w:after="40"/>
            </w:pPr>
            <w:r>
              <w:rPr>
                <w:rFonts w:ascii="Consolas" w:hAnsi="Consolas" w:cs="Times New Roman"/>
                <w:sz w:val="17"/>
                <w:szCs w:val="17"/>
              </w:rPr>
              <w:t xml:space="preserve">[VERIFY: EV-235]</w:t>
            </w:r>
          </w:p>
        </w:tc>
      </w:tr>
      <w:tr>
        <w:trPr>
          <w:cantSplit/>
        </w:trPr>
        <w:tc>
          <w:tcPr>
            <w:tcW w:w="3120" w:type="dxa"/>
          </w:tcPr>
          <w:p>
            <w:pPr>
              <w:spacing w:after="40"/>
            </w:pPr>
            <w:r>
              <w:rPr>
                <w:rFonts w:ascii="Times New Roman" w:hAnsi="Times New Roman" w:cs="Times New Roman"/>
                <w:sz w:val="17"/>
                <w:szCs w:val="17"/>
              </w:rPr>
              <w:t xml:space="preserve">Controller-to-controller transfers</w:t>
            </w:r>
          </w:p>
        </w:tc>
        <w:tc>
          <w:tcPr>
            <w:tcW w:w="3120" w:type="dxa"/>
          </w:tcPr>
          <w:p>
            <w:pPr>
              <w:spacing w:after="40"/>
            </w:pPr>
            <w:r>
              <w:rPr>
                <w:rFonts w:ascii="Times New Roman" w:hAnsi="Times New Roman" w:cs="Times New Roman"/>
                <w:sz w:val="17"/>
                <w:szCs w:val="17"/>
              </w:rPr>
              <w:t xml:space="preserve">Decision (EU) 2021/914 (Module 1; Clauses 17–18); UK Addendum/IDTA</w:t>
            </w:r>
          </w:p>
        </w:tc>
        <w:tc>
          <w:tcPr>
            <w:tcW w:w="3120" w:type="dxa"/>
          </w:tcPr>
          <w:p>
            <w:pPr>
              <w:spacing w:after="40"/>
            </w:pPr>
            <w:r>
              <w:rPr>
                <w:rFonts w:ascii="Consolas" w:hAnsi="Consolas" w:cs="Times New Roman"/>
                <w:sz w:val="17"/>
                <w:szCs w:val="17"/>
              </w:rPr>
              <w:t xml:space="preserve">[VERIFY: EV-234]</w:t>
            </w:r>
          </w:p>
        </w:tc>
      </w:tr>
      <w:tr>
        <w:trPr>
          <w:cantSplit/>
        </w:trPr>
        <w:tc>
          <w:tcPr>
            <w:tcW w:w="3120" w:type="dxa"/>
          </w:tcPr>
          <w:p>
            <w:pPr>
              <w:spacing w:after="40"/>
            </w:pPr>
            <w:r>
              <w:rPr>
                <w:rFonts w:ascii="Times New Roman" w:hAnsi="Times New Roman" w:cs="Times New Roman"/>
                <w:sz w:val="17"/>
                <w:szCs w:val="17"/>
              </w:rPr>
              <w:t xml:space="preserve">Screening data</w:t>
            </w:r>
          </w:p>
        </w:tc>
        <w:tc>
          <w:tcPr>
            <w:tcW w:w="3120" w:type="dxa"/>
          </w:tcPr>
          <w:p>
            <w:pPr>
              <w:spacing w:after="40"/>
            </w:pPr>
            <w:r>
              <w:rPr>
                <w:rFonts w:ascii="Times New Roman" w:hAnsi="Times New Roman" w:cs="Times New Roman"/>
                <w:sz w:val="17"/>
                <w:szCs w:val="17"/>
              </w:rPr>
              <w:t xml:space="preserve">GDPR Arts. 6(1)(c), 6(3), 10</w:t>
            </w:r>
          </w:p>
        </w:tc>
        <w:tc>
          <w:tcPr>
            <w:tcW w:w="3120" w:type="dxa"/>
          </w:tcPr>
          <w:p>
            <w:pPr>
              <w:spacing w:after="40"/>
            </w:pPr>
            <w:r>
              <w:rPr>
                <w:rFonts w:ascii="Consolas" w:hAnsi="Consolas" w:cs="Times New Roman"/>
                <w:sz w:val="17"/>
                <w:szCs w:val="17"/>
              </w:rPr>
              <w:t xml:space="preserve">[VERIFY]</w:t>
            </w:r>
          </w:p>
        </w:tc>
      </w:tr>
      <w:tr>
        <w:trPr>
          <w:cantSplit/>
        </w:trPr>
        <w:tc>
          <w:tcPr>
            <w:tcW w:w="3120" w:type="dxa"/>
          </w:tcPr>
          <w:p>
            <w:pPr>
              <w:spacing w:after="40"/>
            </w:pPr>
            <w:r>
              <w:rPr>
                <w:rFonts w:ascii="Times New Roman" w:hAnsi="Times New Roman" w:cs="Times New Roman"/>
                <w:sz w:val="17"/>
                <w:szCs w:val="17"/>
              </w:rPr>
              <w:t xml:space="preserve">Recordkeeping</w:t>
            </w:r>
          </w:p>
        </w:tc>
        <w:tc>
          <w:tcPr>
            <w:tcW w:w="3120" w:type="dxa"/>
          </w:tcPr>
          <w:p>
            <w:pPr>
              <w:spacing w:after="40"/>
            </w:pPr>
            <w:r>
              <w:rPr>
                <w:rFonts w:ascii="Times New Roman" w:hAnsi="Times New Roman" w:cs="Times New Roman"/>
                <w:sz w:val="17"/>
                <w:szCs w:val="17"/>
              </w:rPr>
              <w:t xml:space="preserve">31 C.F.R. §501.601</w:t>
            </w:r>
          </w:p>
        </w:tc>
        <w:tc>
          <w:tcPr>
            <w:tcW w:w="3120" w:type="dxa"/>
          </w:tcPr>
          <w:p>
            <w:pPr>
              <w:spacing w:after="40"/>
            </w:pPr>
            <w:r>
              <w:rPr>
                <w:rFonts w:ascii="Times New Roman" w:hAnsi="Times New Roman" w:cs="Times New Roman"/>
                <w:sz w:val="17"/>
                <w:szCs w:val="17"/>
              </w:rPr>
              <w:t xml:space="preserve">Reported</w:t>
            </w:r>
          </w:p>
        </w:tc>
      </w:tr>
    </w:tbl>
    <w:p>
      <w:pPr>
        <w:spacing w:after="60"/>
      </w:pPr>
    </w:p>
    <w:p>
      <w:pPr>
        <w:pStyle w:val="Heading3"/>
        <w:keepNext/>
      </w:pPr>
      <w:r>
        <w:rPr>
          <w:rFonts w:ascii="Times New Roman" w:hAnsi="Times New Roman" w:cs="Times New Roman"/>
        </w:rPr>
        <w:t xml:space="preserve">D.2 Limits of this analysis</w:t>
      </w:r>
    </w:p>
    <w:p>
      <w:pPr>
        <w:jc w:val="both"/>
      </w:pPr>
      <w:r>
        <w:rPr>
          <w:rFonts w:ascii="Times New Roman" w:hAnsi="Times New Roman" w:cs="Times New Roman"/>
        </w:rPr>
        <w:t xml:space="preserve">Verified first-hand: Apple Guideline 5.4 only. Not opened: EUR-Lex (SCCs), EDPB guidelines. Not reviewed: data-protection laws of reseller countries; CCPA third-party contract terms (Cal. Civ. Code §1798.100(d)), applicability open (EV-233). Facts unknown: the reseller model and data flows. Counsel required: EU/UK privacy; U.S. privacy.</w:t>
      </w:r>
    </w:p>
    <w:p>
      <w:pPr>
        <w:pStyle w:val="Heading3"/>
        <w:keepNext/>
      </w:pPr>
      <w:r>
        <w:rPr>
          <w:rFonts w:ascii="Times New Roman" w:hAnsi="Times New Roman" w:cs="Times New Roman"/>
        </w:rPr>
        <w:t xml:space="preserve">D.3 Review log</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340"/>
        <w:gridCol w:w="2340"/>
        <w:gridCol w:w="2340"/>
        <w:gridCol w:w="2340"/>
      </w:tblGrid>
      <w:tr>
        <w:trPr>
          <w:tblHeader/>
          <w:cantSplit/>
        </w:trPr>
        <w:tc>
          <w:tcPr>
            <w:tcW w:w="2340" w:type="dxa"/>
            <w:shd w:val="clear" w:color="auto" w:fill="D9D9D9"/>
          </w:tcPr>
          <w:p>
            <w:pPr>
              <w:spacing w:after="40"/>
            </w:pPr>
            <w:r>
              <w:rPr>
                <w:rFonts w:ascii="Times New Roman" w:hAnsi="Times New Roman" w:cs="Times New Roman"/>
                <w:b/>
                <w:bCs/>
                <w:sz w:val="17"/>
                <w:szCs w:val="17"/>
              </w:rPr>
              <w:t xml:space="preserve">Date</w:t>
            </w:r>
          </w:p>
        </w:tc>
        <w:tc>
          <w:tcPr>
            <w:tcW w:w="2340" w:type="dxa"/>
            <w:shd w:val="clear" w:color="auto" w:fill="D9D9D9"/>
          </w:tcPr>
          <w:p>
            <w:pPr>
              <w:spacing w:after="40"/>
            </w:pPr>
            <w:r>
              <w:rPr>
                <w:rFonts w:ascii="Times New Roman" w:hAnsi="Times New Roman" w:cs="Times New Roman"/>
                <w:b/>
                <w:bCs/>
                <w:sz w:val="17"/>
                <w:szCs w:val="17"/>
              </w:rPr>
              <w:t xml:space="preserve">Reviewer</w:t>
            </w:r>
          </w:p>
        </w:tc>
        <w:tc>
          <w:tcPr>
            <w:tcW w:w="2340" w:type="dxa"/>
            <w:shd w:val="clear" w:color="auto" w:fill="D9D9D9"/>
          </w:tcPr>
          <w:p>
            <w:pPr>
              <w:spacing w:after="40"/>
            </w:pPr>
            <w:r>
              <w:rPr>
                <w:rFonts w:ascii="Times New Roman" w:hAnsi="Times New Roman" w:cs="Times New Roman"/>
                <w:b/>
                <w:bCs/>
                <w:sz w:val="17"/>
                <w:szCs w:val="17"/>
              </w:rPr>
              <w:t xml:space="preserve">Verdict</w:t>
            </w:r>
          </w:p>
        </w:tc>
        <w:tc>
          <w:tcPr>
            <w:tcW w:w="2340" w:type="dxa"/>
            <w:shd w:val="clear" w:color="auto" w:fill="D9D9D9"/>
          </w:tcPr>
          <w:p>
            <w:pPr>
              <w:spacing w:after="40"/>
            </w:pPr>
            <w:r>
              <w:rPr>
                <w:rFonts w:ascii="Times New Roman" w:hAnsi="Times New Roman" w:cs="Times New Roman"/>
                <w:b/>
                <w:bCs/>
                <w:sz w:val="17"/>
                <w:szCs w:val="17"/>
              </w:rPr>
              <w:t xml:space="preserve">Notes</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Drafted</w:t>
            </w:r>
          </w:p>
        </w:tc>
        <w:tc>
          <w:tcPr>
            <w:tcW w:w="2340" w:type="dxa"/>
          </w:tcPr>
          <w:p>
            <w:pPr>
              <w:spacing w:after="40"/>
            </w:pPr>
            <w:r>
              <w:rPr>
                <w:rFonts w:ascii="Times New Roman" w:hAnsi="Times New Roman" w:cs="Times New Roman"/>
                <w:sz w:val="17"/>
                <w:szCs w:val="17"/>
              </w:rPr>
              <w:t xml:space="preserve">—</w:t>
            </w:r>
          </w:p>
        </w:tc>
        <w:tc>
          <w:tcPr>
            <w:tcW w:w="2340" w:type="dxa"/>
          </w:tcPr>
          <w:p>
            <w:pPr>
              <w:spacing w:after="40"/>
            </w:pPr>
            <w:r>
              <w:rPr>
                <w:rFonts w:ascii="Times New Roman" w:hAnsi="Times New Roman" w:cs="Times New Roman"/>
                <w:sz w:val="17"/>
                <w:szCs w:val="17"/>
              </w:rPr>
              <w:t xml:space="preserve">v0.1 framework</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w:t>
            </w:r>
          </w:p>
        </w:tc>
        <w:tc>
          <w:tcPr>
            <w:tcW w:w="2340" w:type="dxa"/>
          </w:tcPr>
          <w:p>
            <w:pPr>
              <w:spacing w:after="40"/>
            </w:pPr>
            <w:r>
              <w:rPr>
                <w:rFonts w:ascii="Times New Roman" w:hAnsi="Times New Roman" w:cs="Times New Roman"/>
                <w:sz w:val="17"/>
                <w:szCs w:val="17"/>
              </w:rPr>
              <w:t xml:space="preserve">REVISE (1 Blocker; 5 Majors)</w:t>
            </w:r>
          </w:p>
        </w:tc>
        <w:tc>
          <w:tcPr>
            <w:tcW w:w="2340" w:type="dxa"/>
          </w:tcPr>
          <w:p>
            <w:pPr>
              <w:spacing w:after="40"/>
            </w:pPr>
            <w:r>
              <w:rPr>
                <w:rFonts w:ascii="Times New Roman" w:hAnsi="Times New Roman" w:cs="Times New Roman"/>
                <w:sz w:val="17"/>
                <w:szCs w:val="17"/>
              </w:rPr>
              <w:t xml:space="preserve">v0.2: per-code activation status removed (Apple 5.4 Blocker); unlinkability clause; SCC schedule and governing-law priority; Privacy Policy disclosure required (POL-PRIV-002); self-standing contact notice; screening legal basis; roles triggers; minimization, deletion, cooperation; retention aligned (7 years; 10 years for screening)</w:t>
            </w:r>
          </w:p>
        </w:tc>
      </w:tr>
    </w:tbl>
    <w:p>
      <w:pPr>
        <w:spacing w:after="60"/>
      </w:pPr>
    </w:p>
    <w:sectPr>
      <w:headerReference w:type="default" r:id="rIdHeader"/>
      <w:footerReference w:type="default" r:id="rIdFooter"/>
      <w:pgSz w:w="12240" w:h="15840"/>
      <w:pgMar w:top="1440" w:right="1440" w:bottom="1440" w:left="1440" w:header="708" w:footer="708" w:gutter="0"/>
    </w:sectPr>
  </w:body>
</w:document>
</file>

<file path=word/footer1.xml><?xml version="1.0" encoding="utf-8"?>
<w:ftr xmlns:w="http://schemas.openxmlformats.org/wordprocessingml/2006/main" xmlns:r="http://schemas.openxmlformats.org/officeDocument/2006/relationships">
  <w:p>
    <w:pPr>
      <w:spacing w:after="0"/>
      <w:jc w:val="center"/>
    </w:pPr>
    <w:r>
      <w:rPr>
        <w:rFonts w:ascii="Times New Roman" w:hAnsi="Times New Roman" w:cs="Times New Roman"/>
        <w:sz w:val="16"/>
        <w:szCs w:val="16"/>
      </w:rPr>
      <w:t xml:space="preserve">Page </w:t>
    </w:r>
    <w:r>
      <w:fldChar w:fldCharType="begin"/>
    </w:r>
    <w:r>
      <w:instrText xml:space="preserve"> PAGE </w:instrText>
    </w:r>
    <w:r>
      <w:fldChar w:fldCharType="separate"/>
    </w:r>
    <w:r>
      <w:rPr>
        <w:rFonts w:ascii="Times New Roman" w:hAnsi="Times New Roman" w:cs="Times New Roman"/>
        <w:sz w:val="16"/>
        <w:szCs w:val="16"/>
      </w:rPr>
      <w:t xml:space="preserve">1</w:t>
    </w:r>
    <w:r>
      <w:fldChar w:fldCharType="end"/>
    </w:r>
    <w:r>
      <w:rPr>
        <w:rFonts w:ascii="Times New Roman" w:hAnsi="Times New Roman" w:cs="Times New Roman"/>
        <w:sz w:val="16"/>
        <w:szCs w:val="16"/>
      </w:rPr>
      <w:t xml:space="preserve"> of </w:t>
    </w:r>
    <w:r>
      <w:fldChar w:fldCharType="begin"/>
    </w:r>
    <w:r>
      <w:instrText xml:space="preserve"> NUMPAGES </w:instrText>
    </w:r>
    <w:r>
      <w:fldChar w:fldCharType="separate"/>
    </w:r>
    <w:r>
      <w:rPr>
        <w:rFonts w:ascii="Times New Roman" w:hAnsi="Times New Roman" w:cs="Times New Roman"/>
        <w:sz w:val="16"/>
        <w:szCs w:val="16"/>
      </w:rPr>
      <w:t xml:space="preserve">1</w:t>
    </w:r>
    <w:r>
      <w:fldChar w:fldCharType="end"/>
    </w:r>
  </w:p>
  <w:p>
    <w:pPr>
      <w:spacing w:after="0"/>
      <w:jc w:val="center"/>
    </w:pPr>
    <w:r>
      <w:rPr>
        <w:rFonts w:ascii="Times New Roman" w:hAnsi="Times New Roman" w:cs="Times New Roman"/>
        <w:b/>
        <w:bCs/>
        <w:sz w:val="14"/>
        <w:szCs w:val="14"/>
      </w:rPr>
      <w:t xml:space="preserve">DRAFT — PREPARED FOR REVIEW BY LICENSED COUNSEL — NOT LEGAL ADVICE</w:t>
    </w:r>
  </w:p>
</w:ftr>
</file>

<file path=word/header1.xml><?xml version="1.0" encoding="utf-8"?>
<w:hdr xmlns:w="http://schemas.openxmlformats.org/wordprocessingml/2006/main" xmlns:r="http://schemas.openxmlformats.org/officeDocument/2006/relationships">
  <w:p>
    <w:pPr>
      <w:jc w:val="right"/>
    </w:pPr>
    <w:r>
      <w:rPr>
        <w:rFonts w:ascii="Times New Roman" w:hAnsi="Times New Roman" w:cs="Times New Roman"/>
        <w:sz w:val="16"/>
        <w:szCs w:val="16"/>
      </w:rPr>
      <w:t xml:space="preserve">POL-RPRIV-001  ·  v0.2  ·  INTERNAL — LEGAL (Part C becomes PUBLIC when approved)</w:t>
    </w:r>
  </w:p>
</w:hdr>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Times New Roman"/>
        <w:sz w:val="22"/>
        <w:szCs w:val="22"/>
        <w:lang w:val="en-US"/>
      </w:rPr>
    </w:rPrDefault>
    <w:pPrDefault>
      <w:pPr>
        <w:spacing w:after="120" w:line="264"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bCs/>
      <w:sz w:val="30"/>
      <w:szCs w:val="30"/>
    </w:rPr>
  </w:style>
  <w:style w:type="paragraph" w:styleId="Heading2">
    <w:name w:val="heading 2"/>
    <w:basedOn w:val="Normal"/>
    <w:next w:val="Normal"/>
    <w:qFormat/>
    <w:pPr>
      <w:keepNext/>
      <w:spacing w:before="280" w:after="120"/>
      <w:outlineLvl w:val="1"/>
    </w:pPr>
    <w:rPr>
      <w:b/>
      <w:bCs/>
      <w:sz w:val="26"/>
      <w:szCs w:val="26"/>
    </w:rPr>
  </w:style>
  <w:style w:type="paragraph" w:styleId="Heading3">
    <w:name w:val="heading 3"/>
    <w:basedOn w:val="Normal"/>
    <w:next w:val="Normal"/>
    <w:qFormat/>
    <w:pPr>
      <w:keepNext/>
      <w:spacing w:before="200" w:after="120"/>
      <w:outlineLvl w:val="2"/>
    </w:pPr>
    <w:rPr>
      <w:b/>
      <w:bCs/>
      <w:sz w:val="24"/>
      <w:szCs w:val="24"/>
    </w:rPr>
  </w:style>
  <w:style w:type="paragraph" w:styleId="Heading4">
    <w:name w:val="heading 4"/>
    <w:basedOn w:val="Normal"/>
    <w:next w:val="Normal"/>
    <w:qFormat/>
    <w:pPr>
      <w:keepNext/>
      <w:spacing w:before="160" w:after="120"/>
      <w:outlineLvl w:val="3"/>
    </w:pPr>
    <w:rPr>
      <w:b/>
      <w:bCs/>
      <w:sz w:val="22"/>
      <w:szCs w:val="22"/>
    </w:rPr>
  </w:style>
  <w:style w:type="table" w:styleId="TableGrid">
    <w:name w:val="Table Grid"/>
    <w:tblPr>
      <w:tblBorders>
        <w:top w:val="single" w:sz="4" w:space="0" w:color="auto"/>
        <w:bottom w:val="single" w:sz="4" w:space="0" w:color="auto"/>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Header" Type="http://schemas.openxmlformats.org/officeDocument/2006/relationships/header" Target="header1.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Reseller Data Protection Terms and reseller-contact privacy notice — framework draft</dc:title>
  <dc:creator>HidzoVPN Legal KB</dc:creator>
  <dc:identifier>POL-RPRIV-001</dc:identifier>
  <dcterms:created xsi:type="dcterms:W3CDTF">2026-09-28T09:52:26Z</dcterms:created>
</cp:coreProperties>
</file>