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00"/>
        <w:jc w:val="center"/>
      </w:pPr>
      <w:r>
        <w:rPr>
          <w:rFonts w:ascii="Times New Roman" w:hAnsi="Times New Roman" w:cs="Times New Roman"/>
          <w:b/>
          <w:bCs/>
          <w:sz w:val="32"/>
          <w:szCs w:val="32"/>
        </w:rPr>
        <w:t xml:space="preserve">Refund and Cancellation Policy — draft with drafting notes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600"/>
        <w:gridCol w:w="6760"/>
      </w:tblGrid>
      <w:tr>
        <w:trPr>
          <w:cantSplit/>
        </w:trPr>
        <w:tc>
          <w:tcPr>
            <w:tcW w:w="2600" w:type="dxa"/>
            <w:shd w:val="clear" w:color="auto" w:fill="EDEDED"/>
          </w:tcPr>
          <w:p>
            <w:pPr>
              <w:spacing w:after="40"/>
            </w:pPr>
            <w:r>
              <w:rPr>
                <w:rFonts w:ascii="Times New Roman" w:hAnsi="Times New Roman" w:cs="Times New Roman"/>
                <w:sz w:val="18"/>
                <w:szCs w:val="18"/>
              </w:rPr>
              <w:t xml:space="preserve">Doc Id</w:t>
            </w:r>
          </w:p>
        </w:tc>
        <w:tc>
          <w:tcPr>
            <w:tcW w:w="6760" w:type="dxa"/>
          </w:tcPr>
          <w:p>
            <w:pPr>
              <w:spacing w:after="40"/>
            </w:pPr>
            <w:r>
              <w:rPr>
                <w:rFonts w:ascii="Times New Roman" w:hAnsi="Times New Roman" w:cs="Times New Roman"/>
                <w:sz w:val="18"/>
                <w:szCs w:val="18"/>
              </w:rPr>
              <w:t xml:space="preserve">POL-REF-001</w:t>
            </w:r>
          </w:p>
        </w:tc>
      </w:tr>
      <w:tr>
        <w:trPr>
          <w:cantSplit/>
        </w:trPr>
        <w:tc>
          <w:tcPr>
            <w:tcW w:w="2600" w:type="dxa"/>
            <w:shd w:val="clear" w:color="auto" w:fill="EDEDED"/>
          </w:tcPr>
          <w:p>
            <w:pPr>
              <w:spacing w:after="40"/>
            </w:pPr>
            <w:r>
              <w:rPr>
                <w:rFonts w:ascii="Times New Roman" w:hAnsi="Times New Roman" w:cs="Times New Roman"/>
                <w:sz w:val="18"/>
                <w:szCs w:val="18"/>
              </w:rPr>
              <w:t xml:space="preserve">Version</w:t>
            </w:r>
          </w:p>
        </w:tc>
        <w:tc>
          <w:tcPr>
            <w:tcW w:w="6760" w:type="dxa"/>
          </w:tcPr>
          <w:p>
            <w:pPr>
              <w:spacing w:after="40"/>
            </w:pPr>
            <w:r>
              <w:rPr>
                <w:rFonts w:ascii="Times New Roman" w:hAnsi="Times New Roman" w:cs="Times New Roman"/>
                <w:sz w:val="18"/>
                <w:szCs w:val="18"/>
              </w:rPr>
              <w:t xml:space="preserve">0.4</w:t>
            </w:r>
          </w:p>
        </w:tc>
      </w:tr>
      <w:tr>
        <w:trPr>
          <w:cantSplit/>
        </w:trPr>
        <w:tc>
          <w:tcPr>
            <w:tcW w:w="2600" w:type="dxa"/>
            <w:shd w:val="clear" w:color="auto" w:fill="EDEDED"/>
          </w:tcPr>
          <w:p>
            <w:pPr>
              <w:spacing w:after="40"/>
            </w:pPr>
            <w:r>
              <w:rPr>
                <w:rFonts w:ascii="Times New Roman" w:hAnsi="Times New Roman" w:cs="Times New Roman"/>
                <w:sz w:val="18"/>
                <w:szCs w:val="18"/>
              </w:rPr>
              <w:t xml:space="preserve">Status</w:t>
            </w:r>
          </w:p>
        </w:tc>
        <w:tc>
          <w:tcPr>
            <w:tcW w:w="6760" w:type="dxa"/>
          </w:tcPr>
          <w:p>
            <w:pPr>
              <w:spacing w:after="40"/>
            </w:pPr>
            <w:r>
              <w:rPr>
                <w:rFonts w:ascii="Times New Roman" w:hAnsi="Times New Roman" w:cs="Times New Roman"/>
                <w:sz w:val="18"/>
                <w:szCs w:val="18"/>
              </w:rPr>
              <w:t xml:space="preserve">draft</w:t>
            </w:r>
          </w:p>
        </w:tc>
      </w:tr>
      <w:tr>
        <w:trPr>
          <w:cantSplit/>
        </w:trPr>
        <w:tc>
          <w:tcPr>
            <w:tcW w:w="2600" w:type="dxa"/>
            <w:shd w:val="clear" w:color="auto" w:fill="EDEDED"/>
          </w:tcPr>
          <w:p>
            <w:pPr>
              <w:spacing w:after="40"/>
            </w:pPr>
            <w:r>
              <w:rPr>
                <w:rFonts w:ascii="Times New Roman" w:hAnsi="Times New Roman" w:cs="Times New Roman"/>
                <w:sz w:val="18"/>
                <w:szCs w:val="18"/>
              </w:rPr>
              <w:t xml:space="preserve">Date</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Created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Last Reviewed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Law Checked</w:t>
            </w:r>
          </w:p>
        </w:tc>
        <w:tc>
          <w:tcPr>
            <w:tcW w:w="6760" w:type="dxa"/>
          </w:tcPr>
          <w:p>
            <w:pPr>
              <w:spacing w:after="40"/>
            </w:pPr>
            <w:r>
              <w:rPr>
                <w:rFonts w:ascii="Times New Roman" w:hAnsi="Times New Roman" w:cs="Times New Roman"/>
                <w:sz w:val="18"/>
                <w:szCs w:val="18"/>
              </w:rPr>
              <w:t xml:space="preserve">2026-09-25</w:t>
            </w:r>
          </w:p>
        </w:tc>
      </w:tr>
      <w:tr>
        <w:trPr>
          <w:cantSplit/>
        </w:trPr>
        <w:tc>
          <w:tcPr>
            <w:tcW w:w="2600" w:type="dxa"/>
            <w:shd w:val="clear" w:color="auto" w:fill="EDEDED"/>
          </w:tcPr>
          <w:p>
            <w:pPr>
              <w:spacing w:after="40"/>
            </w:pPr>
            <w:r>
              <w:rPr>
                <w:rFonts w:ascii="Times New Roman" w:hAnsi="Times New Roman" w:cs="Times New Roman"/>
                <w:sz w:val="18"/>
                <w:szCs w:val="18"/>
              </w:rPr>
              <w:t xml:space="preserve">Owner</w:t>
            </w:r>
          </w:p>
        </w:tc>
        <w:tc>
          <w:tcPr>
            <w:tcW w:w="6760" w:type="dxa"/>
          </w:tcPr>
          <w:p>
            <w:pPr>
              <w:spacing w:after="40"/>
            </w:pPr>
            <w:r>
              <w:rPr>
                <w:rFonts w:ascii="Times New Roman" w:hAnsi="Times New Roman" w:cs="Times New Roman"/>
                <w:sz w:val="18"/>
                <w:szCs w:val="18"/>
              </w:rPr>
              <w:t xml:space="preserve">Legal Lead (to be appointed) with Finance</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Needed</w:t>
            </w:r>
          </w:p>
        </w:tc>
        <w:tc>
          <w:tcPr>
            <w:tcW w:w="6760" w:type="dxa"/>
          </w:tcPr>
          <w:p>
            <w:pPr>
              <w:spacing w:after="40"/>
            </w:pPr>
            <w:r>
              <w:rPr>
                <w:rFonts w:ascii="Times New Roman" w:hAnsi="Times New Roman" w:cs="Times New Roman"/>
                <w:sz w:val="18"/>
                <w:szCs w:val="18"/>
              </w:rPr>
              <w:t xml:space="preserve">yes</w:t>
            </w:r>
          </w:p>
        </w:tc>
      </w:tr>
      <w:tr>
        <w:trPr>
          <w:cantSplit/>
        </w:trPr>
        <w:tc>
          <w:tcPr>
            <w:tcW w:w="2600" w:type="dxa"/>
            <w:shd w:val="clear" w:color="auto" w:fill="EDEDED"/>
          </w:tcPr>
          <w:p>
            <w:pPr>
              <w:spacing w:after="40"/>
            </w:pPr>
            <w:r>
              <w:rPr>
                <w:rFonts w:ascii="Times New Roman" w:hAnsi="Times New Roman" w:cs="Times New Roman"/>
                <w:sz w:val="18"/>
                <w:szCs w:val="18"/>
              </w:rPr>
              <w:t xml:space="preserve">Counsel Status</w:t>
            </w:r>
          </w:p>
        </w:tc>
        <w:tc>
          <w:tcPr>
            <w:tcW w:w="6760" w:type="dxa"/>
          </w:tcPr>
          <w:p>
            <w:pPr>
              <w:spacing w:after="40"/>
            </w:pPr>
            <w:r>
              <w:rPr>
                <w:rFonts w:ascii="Times New Roman" w:hAnsi="Times New Roman" w:cs="Times New Roman"/>
                <w:sz w:val="18"/>
                <w:szCs w:val="18"/>
              </w:rPr>
              <w:t xml:space="preserve">none</w:t>
            </w:r>
          </w:p>
        </w:tc>
      </w:tr>
      <w:tr>
        <w:trPr>
          <w:cantSplit/>
        </w:trPr>
        <w:tc>
          <w:tcPr>
            <w:tcW w:w="2600" w:type="dxa"/>
            <w:shd w:val="clear" w:color="auto" w:fill="EDEDED"/>
          </w:tcPr>
          <w:p>
            <w:pPr>
              <w:spacing w:after="40"/>
            </w:pPr>
            <w:r>
              <w:rPr>
                <w:rFonts w:ascii="Times New Roman" w:hAnsi="Times New Roman" w:cs="Times New Roman"/>
                <w:sz w:val="18"/>
                <w:szCs w:val="18"/>
              </w:rPr>
              <w:t xml:space="preserve">Confidentiality</w:t>
            </w:r>
          </w:p>
        </w:tc>
        <w:tc>
          <w:tcPr>
            <w:tcW w:w="6760" w:type="dxa"/>
          </w:tcPr>
          <w:p>
            <w:pPr>
              <w:spacing w:after="40"/>
            </w:pPr>
            <w:r>
              <w:rPr>
                <w:rFonts w:ascii="Times New Roman" w:hAnsi="Times New Roman" w:cs="Times New Roman"/>
                <w:sz w:val="18"/>
                <w:szCs w:val="18"/>
              </w:rPr>
              <w:t xml:space="preserve">INTERNAL — LEGAL (Part B becomes PUBLIC on publication)</w:t>
            </w:r>
          </w:p>
        </w:tc>
      </w:tr>
    </w:tbl>
    <w:p>
      <w:pPr>
        <w:spacing w:after="60"/>
      </w:pPr>
    </w:p>
    <w:p>
      <w:pPr>
        <w:shd w:val="clear" w:color="auto" w:fill="F2F2F2"/>
        <w:spacing w:after="240"/>
        <w:jc w:val="center"/>
      </w:pPr>
      <w:r>
        <w:rPr>
          <w:rFonts w:ascii="Times New Roman" w:hAnsi="Times New Roman" w:cs="Times New Roman"/>
          <w:b/>
          <w:bCs/>
          <w:sz w:val="18"/>
          <w:szCs w:val="18"/>
        </w:rPr>
        <w:t xml:space="preserve">DRAFT — PREPARED FOR REVIEW BY LICENSED COUNSEL — NOT LEGAL ADVICE</w:t>
      </w:r>
    </w:p>
    <w:p>
      <w:pPr>
        <w:shd w:val="clear" w:color="auto" w:fill="F7F7F7"/>
        <w:ind w:left="567" w:hanging="0"/>
      </w:pPr>
      <w:r>
        <w:rPr>
          <w:rFonts w:ascii="Times New Roman" w:hAnsi="Times New Roman" w:cs="Times New Roman"/>
          <w:b/>
          <w:bCs/>
          <w:i/>
        </w:rPr>
        <w:t xml:space="preserve">Prepared for review by licensed counsel. Not legal advice.</w:t>
      </w:r>
      <w:r>
        <w:rPr>
          <w:rFonts w:ascii="Times New Roman" w:hAnsi="Times New Roman" w:cs="Times New Roman"/>
          <w:i/>
        </w:rPr>
        <w:t xml:space="preserve"> Part B is the proposed public text; Parts A and C are internal. Part B may not be published while any bracket remains.</w:t>
      </w:r>
    </w:p>
    <w:p>
      <w:pPr>
        <w:pStyle w:val="Heading2"/>
        <w:keepNext/>
      </w:pPr>
      <w:r>
        <w:rPr>
          <w:rFonts w:ascii="Times New Roman" w:hAnsi="Times New Roman" w:cs="Times New Roman"/>
        </w:rPr>
        <w:t xml:space="preserve">Part A — Drafting brief (internal)</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Item</w:t>
            </w:r>
          </w:p>
        </w:tc>
        <w:tc>
          <w:tcPr>
            <w:tcW w:w="4680" w:type="dxa"/>
            <w:shd w:val="clear" w:color="auto" w:fill="D9D9D9"/>
          </w:tcPr>
          <w:p>
            <w:pPr>
              <w:spacing w:after="40"/>
            </w:pPr>
            <w:r>
              <w:rPr>
                <w:rFonts w:ascii="Times New Roman" w:hAnsi="Times New Roman" w:cs="Times New Roman"/>
                <w:b/>
                <w:bCs/>
                <w:sz w:val="17"/>
                <w:szCs w:val="17"/>
              </w:rPr>
              <w:t xml:space="preserve">Value</w:t>
            </w:r>
          </w:p>
        </w:tc>
      </w:tr>
      <w:tr>
        <w:trPr>
          <w:cantSplit/>
        </w:trPr>
        <w:tc>
          <w:tcPr>
            <w:tcW w:w="4680" w:type="dxa"/>
          </w:tcPr>
          <w:p>
            <w:pPr>
              <w:spacing w:after="40"/>
            </w:pPr>
            <w:r>
              <w:rPr>
                <w:rFonts w:ascii="Times New Roman" w:hAnsi="Times New Roman" w:cs="Times New Roman"/>
                <w:sz w:val="17"/>
                <w:szCs w:val="17"/>
              </w:rPr>
              <w:t xml:space="preserve">Question presented</w:t>
            </w:r>
          </w:p>
        </w:tc>
        <w:tc>
          <w:tcPr>
            <w:tcW w:w="4680" w:type="dxa"/>
          </w:tcPr>
          <w:p>
            <w:pPr>
              <w:spacing w:after="40"/>
            </w:pPr>
            <w:r>
              <w:rPr>
                <w:rFonts w:ascii="Times New Roman" w:hAnsi="Times New Roman" w:cs="Times New Roman"/>
                <w:sz w:val="17"/>
                <w:szCs w:val="17"/>
              </w:rPr>
              <w:t xml:space="preserve">How does a user cancel on each channel, what refunds are available, and how are statutory withdrawal rights honoured?</w:t>
            </w:r>
          </w:p>
        </w:tc>
      </w:tr>
      <w:tr>
        <w:trPr>
          <w:cantSplit/>
        </w:trPr>
        <w:tc>
          <w:tcPr>
            <w:tcW w:w="4680" w:type="dxa"/>
          </w:tcPr>
          <w:p>
            <w:pPr>
              <w:spacing w:after="40"/>
            </w:pPr>
            <w:r>
              <w:rPr>
                <w:rFonts w:ascii="Times New Roman" w:hAnsi="Times New Roman" w:cs="Times New Roman"/>
                <w:sz w:val="17"/>
                <w:szCs w:val="17"/>
              </w:rPr>
              <w:t xml:space="preserve">Source model</w:t>
            </w:r>
          </w:p>
        </w:tc>
        <w:tc>
          <w:tcPr>
            <w:tcW w:w="4680" w:type="dxa"/>
          </w:tcPr>
          <w:p>
            <w:pPr>
              <w:spacing w:after="40"/>
            </w:pPr>
            <w:r>
              <w:rPr>
                <w:rFonts w:ascii="Times New Roman" w:hAnsi="Times New Roman" w:cs="Times New Roman"/>
                <w:sz w:val="17"/>
                <w:szCs w:val="17"/>
              </w:rPr>
              <w:t xml:space="preserve">Payments Rulebook §5.1, §5.4, §5.5 (EV-406)</w:t>
            </w:r>
          </w:p>
        </w:tc>
      </w:tr>
      <w:tr>
        <w:trPr>
          <w:cantSplit/>
        </w:trPr>
        <w:tc>
          <w:tcPr>
            <w:tcW w:w="4680" w:type="dxa"/>
          </w:tcPr>
          <w:p>
            <w:pPr>
              <w:spacing w:after="40"/>
            </w:pPr>
            <w:r>
              <w:rPr>
                <w:rFonts w:ascii="Times New Roman" w:hAnsi="Times New Roman" w:cs="Times New Roman"/>
                <w:sz w:val="17"/>
                <w:szCs w:val="17"/>
              </w:rPr>
              <w:t xml:space="preserve">Decisions required</w:t>
            </w:r>
          </w:p>
        </w:tc>
        <w:tc>
          <w:tcPr>
            <w:tcW w:w="4680" w:type="dxa"/>
          </w:tcPr>
          <w:p>
            <w:pPr>
              <w:spacing w:after="40"/>
            </w:pPr>
            <w:r>
              <w:rPr>
                <w:rFonts w:ascii="Times New Roman" w:hAnsi="Times New Roman" w:cs="Times New Roman"/>
                <w:sz w:val="17"/>
                <w:szCs w:val="17"/>
              </w:rPr>
              <w:t xml:space="preserve">Refund model (BRF-2026-001 D5) — Alternative A or B in §3; cryptocurrency in or out (D7); one trial length (CLM-031); service-failure credit; response and processing times that operations can meet</w:t>
            </w:r>
          </w:p>
        </w:tc>
      </w:tr>
      <w:tr>
        <w:trPr>
          <w:cantSplit/>
        </w:trPr>
        <w:tc>
          <w:tcPr>
            <w:tcW w:w="4680" w:type="dxa"/>
          </w:tcPr>
          <w:p>
            <w:pPr>
              <w:spacing w:after="40"/>
            </w:pPr>
            <w:r>
              <w:rPr>
                <w:rFonts w:ascii="Times New Roman" w:hAnsi="Times New Roman" w:cs="Times New Roman"/>
                <w:sz w:val="17"/>
                <w:szCs w:val="17"/>
              </w:rPr>
              <w:t xml:space="preserve">Engineering inputs</w:t>
            </w:r>
          </w:p>
        </w:tc>
        <w:tc>
          <w:tcPr>
            <w:tcW w:w="4680" w:type="dxa"/>
          </w:tcPr>
          <w:p>
            <w:pPr>
              <w:spacing w:after="40"/>
            </w:pPr>
            <w:r>
              <w:rPr>
                <w:rFonts w:ascii="Times New Roman" w:hAnsi="Times New Roman" w:cs="Times New Roman"/>
                <w:sz w:val="17"/>
                <w:szCs w:val="17"/>
              </w:rPr>
              <w:t xml:space="preserve">Web self-service cancellation page; EU/UK withdrawal function; trial confirmation and reminder emails; refund processing in Stripe </w:t>
            </w:r>
            <w:r>
              <w:rPr>
                <w:rFonts w:ascii="Consolas" w:hAnsi="Consolas" w:cs="Times New Roman"/>
                <w:sz w:val="17"/>
                <w:szCs w:val="17"/>
              </w:rPr>
              <w:t xml:space="preserve">[ENGINEERING]</w:t>
            </w:r>
          </w:p>
        </w:tc>
      </w:tr>
      <w:tr>
        <w:trPr>
          <w:cantSplit/>
        </w:trPr>
        <w:tc>
          <w:tcPr>
            <w:tcW w:w="4680" w:type="dxa"/>
          </w:tcPr>
          <w:p>
            <w:pPr>
              <w:spacing w:after="40"/>
            </w:pPr>
            <w:r>
              <w:rPr>
                <w:rFonts w:ascii="Times New Roman" w:hAnsi="Times New Roman" w:cs="Times New Roman"/>
                <w:sz w:val="17"/>
                <w:szCs w:val="17"/>
              </w:rPr>
              <w:t xml:space="preserve">Current exposure</w:t>
            </w:r>
          </w:p>
        </w:tc>
        <w:tc>
          <w:tcPr>
            <w:tcW w:w="4680" w:type="dxa"/>
          </w:tcPr>
          <w:p>
            <w:pPr>
              <w:spacing w:after="40"/>
            </w:pPr>
            <w:r>
              <w:rPr>
                <w:rFonts w:ascii="Times New Roman" w:hAnsi="Times New Roman" w:cs="Times New Roman"/>
                <w:sz w:val="17"/>
                <w:szCs w:val="17"/>
              </w:rPr>
              <w:t xml:space="preserve">Published Terms say subscriptions renew "manually" (EV-002) and no refund policy is published (RSK-012, RSK-013)</w:t>
            </w:r>
          </w:p>
        </w:tc>
      </w:tr>
    </w:tbl>
    <w:p>
      <w:pPr>
        <w:spacing w:after="60"/>
      </w:pPr>
    </w:p>
    <w:p>
      <w:pPr>
        <w:pStyle w:val="Heading2"/>
        <w:keepNext/>
      </w:pPr>
      <w:r>
        <w:rPr>
          <w:rFonts w:ascii="Times New Roman" w:hAnsi="Times New Roman" w:cs="Times New Roman"/>
        </w:rPr>
        <w:t xml:space="preserve">Part B — Proposed public text</w:t>
      </w:r>
    </w:p>
    <w:p>
      <w:pPr>
        <w:pStyle w:val="Heading1"/>
        <w:keepNext/>
      </w:pPr>
      <w:r>
        <w:rPr>
          <w:rFonts w:ascii="Times New Roman" w:hAnsi="Times New Roman" w:cs="Times New Roman"/>
        </w:rPr>
        <w:t xml:space="preserve">Refund and Cancellation Policy</w:t>
      </w:r>
    </w:p>
    <w:p>
      <w:pPr>
        <w:jc w:val="both"/>
      </w:pPr>
      <w:r>
        <w:rPr>
          <w:rFonts w:ascii="Times New Roman" w:hAnsi="Times New Roman" w:cs="Times New Roman"/>
          <w:b/>
          <w:bCs/>
        </w:rPr>
        <w:t xml:space="preserve">Version:</w:t>
      </w:r>
      <w:r>
        <w:rPr>
          <w:rFonts w:ascii="Times New Roman" w:hAnsi="Times New Roman" w:cs="Times New Roman"/>
        </w:rPr>
        <w:t xml:space="preserve"> 1.0 </w:t>
      </w:r>
      <w:r>
        <w:rPr>
          <w:rFonts w:ascii="Consolas" w:hAnsi="Consolas" w:cs="Times New Roman"/>
        </w:rPr>
        <w:t xml:space="preserve">[OPEN]</w:t>
      </w:r>
      <w:r>
        <w:rPr>
          <w:rFonts w:ascii="Times New Roman" w:hAnsi="Times New Roman" w:cs="Times New Roman"/>
        </w:rPr>
        <w:t xml:space="preserve"> · </w:t>
      </w:r>
      <w:r>
        <w:rPr>
          <w:rFonts w:ascii="Times New Roman" w:hAnsi="Times New Roman" w:cs="Times New Roman"/>
          <w:b/>
          <w:bCs/>
        </w:rPr>
        <w:t xml:space="preserve">Effective:</w:t>
      </w:r>
      <w:r>
        <w:rPr>
          <w:rFonts w:ascii="Times New Roman" w:hAnsi="Times New Roman" w:cs="Times New Roman"/>
        </w:rPr>
        <w:t xml:space="preserve"> </w:t>
      </w:r>
      <w:r>
        <w:rPr>
          <w:rFonts w:ascii="Consolas" w:hAnsi="Consolas" w:cs="Times New Roman"/>
        </w:rPr>
        <w:t xml:space="preserve">[OPEN: date]</w:t>
      </w:r>
    </w:p>
    <w:p>
      <w:pPr>
        <w:jc w:val="both"/>
      </w:pPr>
      <w:r>
        <w:rPr>
          <w:rFonts w:ascii="Times New Roman" w:hAnsi="Times New Roman" w:cs="Times New Roman"/>
        </w:rPr>
        <w:t xml:space="preserve">This policy explains how to cancel a HidzoVPN subscription and when you can get a refund. It forms part of our Terms of Service. It is provided by HidzoVPN, Inc., a Florida corporation. "Premium" means the paid HidzoVPN plan described in our Terms of Service. Nothing in this policy limits any right you have under the law of the place where you live.</w:t>
      </w:r>
    </w:p>
    <w:p>
      <w:pPr>
        <w:pStyle w:val="Heading2"/>
        <w:keepNext/>
      </w:pPr>
      <w:r>
        <w:rPr>
          <w:rFonts w:ascii="Times New Roman" w:hAnsi="Times New Roman" w:cs="Times New Roman"/>
        </w:rPr>
        <w:t xml:space="preserve">1. Cancel at any time</w:t>
      </w:r>
    </w:p>
    <w:p>
      <w:pPr>
        <w:jc w:val="both"/>
      </w:pPr>
      <w:r>
        <w:rPr>
          <w:rFonts w:ascii="Times New Roman" w:hAnsi="Times New Roman" w:cs="Times New Roman"/>
        </w:rPr>
        <w:t xml:space="preserve">Except for cryptocurrency prepayments (Section 6) and Activation Codes (Section 5A), your subscription renews automatically until you cancel </w:t>
      </w:r>
      <w:r>
        <w:rPr>
          <w:rFonts w:ascii="Consolas" w:hAnsi="Consolas" w:cs="Times New Roman"/>
        </w:rPr>
        <w:t xml:space="preserve">[ENGINEERING: confirm the renewal configuration in Stripe, Apple and Google — CLM-025]</w:t>
      </w:r>
      <w:r>
        <w:rPr>
          <w:rFonts w:ascii="Times New Roman" w:hAnsi="Times New Roman" w:cs="Times New Roman"/>
        </w:rPr>
        <w:t xml:space="preserve">. Cancelling stops the next renewal. You keep Premium until the end of the period you have already paid for, unless you receive a refund </w:t>
      </w:r>
      <w:r>
        <w:rPr>
          <w:rFonts w:ascii="Consolas" w:hAnsi="Consolas" w:cs="Times New Roman"/>
        </w:rPr>
        <w:t xml:space="preserve">[ENGINEERING: QN-08-020]</w:t>
      </w:r>
      <w:r>
        <w:rPr>
          <w:rFonts w:ascii="Times New Roman" w:hAnsi="Times New Roman" w:cs="Times New Roman"/>
        </w:rPr>
        <w:t xml:space="preserve">.</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4680"/>
        <w:gridCol w:w="4680"/>
      </w:tblGrid>
      <w:tr>
        <w:trPr>
          <w:tblHeader/>
          <w:cantSplit/>
        </w:trPr>
        <w:tc>
          <w:tcPr>
            <w:tcW w:w="4680" w:type="dxa"/>
            <w:shd w:val="clear" w:color="auto" w:fill="D9D9D9"/>
          </w:tcPr>
          <w:p>
            <w:pPr>
              <w:spacing w:after="40"/>
            </w:pPr>
            <w:r>
              <w:rPr>
                <w:rFonts w:ascii="Times New Roman" w:hAnsi="Times New Roman" w:cs="Times New Roman"/>
                <w:b/>
                <w:bCs/>
                <w:sz w:val="17"/>
                <w:szCs w:val="17"/>
              </w:rPr>
              <w:t xml:space="preserve">Where you bought</w:t>
            </w:r>
          </w:p>
        </w:tc>
        <w:tc>
          <w:tcPr>
            <w:tcW w:w="4680" w:type="dxa"/>
            <w:shd w:val="clear" w:color="auto" w:fill="D9D9D9"/>
          </w:tcPr>
          <w:p>
            <w:pPr>
              <w:spacing w:after="40"/>
            </w:pPr>
            <w:r>
              <w:rPr>
                <w:rFonts w:ascii="Times New Roman" w:hAnsi="Times New Roman" w:cs="Times New Roman"/>
                <w:b/>
                <w:bCs/>
                <w:sz w:val="17"/>
                <w:szCs w:val="17"/>
              </w:rPr>
              <w:t xml:space="preserve">How to cancel</w:t>
            </w:r>
          </w:p>
        </w:tc>
      </w:tr>
      <w:tr>
        <w:trPr>
          <w:cantSplit/>
        </w:trPr>
        <w:tc>
          <w:tcPr>
            <w:tcW w:w="4680" w:type="dxa"/>
          </w:tcPr>
          <w:p>
            <w:pPr>
              <w:spacing w:after="40"/>
            </w:pPr>
            <w:r>
              <w:rPr>
                <w:rFonts w:ascii="Times New Roman" w:hAnsi="Times New Roman" w:cs="Times New Roman"/>
                <w:sz w:val="17"/>
                <w:szCs w:val="17"/>
              </w:rPr>
              <w:t xml:space="preserve">Our website (including purchases made in the Android app downloaded from our website </w:t>
            </w:r>
            <w:r>
              <w:rPr>
                <w:rFonts w:ascii="Consolas" w:hAnsi="Consolas" w:cs="Times New Roman"/>
                <w:sz w:val="17"/>
                <w:szCs w:val="17"/>
              </w:rPr>
              <w:t xml:space="preserve">[ENGINEERING: confirm billing path]</w:t>
            </w:r>
            <w:r>
              <w:rPr>
                <w:rFonts w:ascii="Times New Roman" w:hAnsi="Times New Roman" w:cs="Times New Roman"/>
                <w:sz w:val="17"/>
                <w:szCs w:val="17"/>
              </w:rPr>
              <w:t xml:space="preserve">)</w:t>
            </w:r>
          </w:p>
        </w:tc>
        <w:tc>
          <w:tcPr>
            <w:tcW w:w="4680" w:type="dxa"/>
          </w:tcPr>
          <w:p>
            <w:pPr>
              <w:spacing w:after="40"/>
            </w:pPr>
            <w:r>
              <w:rPr>
                <w:rFonts w:ascii="Times New Roman" w:hAnsi="Times New Roman" w:cs="Times New Roman"/>
                <w:sz w:val="17"/>
                <w:szCs w:val="17"/>
              </w:rPr>
              <w:t xml:space="preserve">Online in your account: </w:t>
            </w:r>
            <w:r>
              <w:rPr>
                <w:rFonts w:ascii="Consolas" w:hAnsi="Consolas" w:cs="Times New Roman"/>
                <w:sz w:val="17"/>
                <w:szCs w:val="17"/>
              </w:rPr>
              <w:t xml:space="preserve">[ENGINEERING: Account → Subscription → Cancel subscription]</w:t>
            </w:r>
            <w:r>
              <w:rPr>
                <w:rFonts w:ascii="Times New Roman" w:hAnsi="Times New Roman" w:cs="Times New Roman"/>
                <w:sz w:val="17"/>
                <w:szCs w:val="17"/>
              </w:rPr>
              <w:t xml:space="preserve">. You can also email support@hidzovpn.com with the subject "Cancel Subscription" from your account email, or include that address in your message. An email cancellation takes effect when we receive it; if we charge you after that, we will refund the charge.</w:t>
            </w:r>
          </w:p>
        </w:tc>
      </w:tr>
      <w:tr>
        <w:trPr>
          <w:cantSplit/>
        </w:trPr>
        <w:tc>
          <w:tcPr>
            <w:tcW w:w="4680" w:type="dxa"/>
          </w:tcPr>
          <w:p>
            <w:pPr>
              <w:spacing w:after="40"/>
            </w:pPr>
            <w:r>
              <w:rPr>
                <w:rFonts w:ascii="Times New Roman" w:hAnsi="Times New Roman" w:cs="Times New Roman"/>
                <w:sz w:val="17"/>
                <w:szCs w:val="17"/>
              </w:rPr>
              <w:t xml:space="preserve">Apple App Store</w:t>
            </w:r>
          </w:p>
        </w:tc>
        <w:tc>
          <w:tcPr>
            <w:tcW w:w="4680" w:type="dxa"/>
          </w:tcPr>
          <w:p>
            <w:pPr>
              <w:spacing w:after="40"/>
            </w:pPr>
            <w:r>
              <w:rPr>
                <w:rFonts w:ascii="Times New Roman" w:hAnsi="Times New Roman" w:cs="Times New Roman"/>
                <w:sz w:val="17"/>
                <w:szCs w:val="17"/>
              </w:rPr>
              <w:t xml:space="preserve">On your iPhone or iPad: Settings → your name → Subscriptions → HidzoVPN → Cancel Subscription.</w:t>
            </w:r>
          </w:p>
        </w:tc>
      </w:tr>
      <w:tr>
        <w:trPr>
          <w:cantSplit/>
        </w:trPr>
        <w:tc>
          <w:tcPr>
            <w:tcW w:w="4680" w:type="dxa"/>
          </w:tcPr>
          <w:p>
            <w:pPr>
              <w:spacing w:after="40"/>
            </w:pPr>
            <w:r>
              <w:rPr>
                <w:rFonts w:ascii="Times New Roman" w:hAnsi="Times New Roman" w:cs="Times New Roman"/>
                <w:sz w:val="17"/>
                <w:szCs w:val="17"/>
              </w:rPr>
              <w:t xml:space="preserve">Google Play</w:t>
            </w:r>
          </w:p>
        </w:tc>
        <w:tc>
          <w:tcPr>
            <w:tcW w:w="4680" w:type="dxa"/>
          </w:tcPr>
          <w:p>
            <w:pPr>
              <w:spacing w:after="40"/>
            </w:pPr>
            <w:r>
              <w:rPr>
                <w:rFonts w:ascii="Times New Roman" w:hAnsi="Times New Roman" w:cs="Times New Roman"/>
                <w:sz w:val="17"/>
                <w:szCs w:val="17"/>
              </w:rPr>
              <w:t xml:space="preserve">In the Play Store: Payments and subscriptions → Subscriptions → HidzoVPN → Cancel subscription.</w:t>
            </w:r>
          </w:p>
        </w:tc>
      </w:tr>
      <w:tr>
        <w:trPr>
          <w:cantSplit/>
        </w:trPr>
        <w:tc>
          <w:tcPr>
            <w:tcW w:w="4680" w:type="dxa"/>
          </w:tcPr>
          <w:p>
            <w:pPr>
              <w:spacing w:after="40"/>
            </w:pPr>
            <w:r>
              <w:rPr>
                <w:rFonts w:ascii="Times New Roman" w:hAnsi="Times New Roman" w:cs="Times New Roman"/>
                <w:sz w:val="17"/>
                <w:szCs w:val="17"/>
              </w:rPr>
              <w:t xml:space="preserve">Germany</w:t>
            </w:r>
          </w:p>
        </w:tc>
        <w:tc>
          <w:tcPr>
            <w:tcW w:w="4680" w:type="dxa"/>
          </w:tcPr>
          <w:p>
            <w:pPr>
              <w:spacing w:after="40"/>
            </w:pPr>
            <w:r>
              <w:rPr>
                <w:rFonts w:ascii="Times New Roman" w:hAnsi="Times New Roman" w:cs="Times New Roman"/>
                <w:sz w:val="17"/>
                <w:szCs w:val="17"/>
              </w:rPr>
              <w:t xml:space="preserve">Use the "Verträge hier kündigen" button at </w:t>
            </w:r>
            <w:r>
              <w:rPr>
                <w:rFonts w:ascii="Consolas" w:hAnsi="Consolas" w:cs="Times New Roman"/>
                <w:sz w:val="17"/>
                <w:szCs w:val="17"/>
              </w:rPr>
              <w:t xml:space="preserve">[ENGINEERING: URL]</w:t>
            </w:r>
            <w:r>
              <w:rPr>
                <w:rFonts w:ascii="Times New Roman" w:hAnsi="Times New Roman" w:cs="Times New Roman"/>
                <w:sz w:val="17"/>
                <w:szCs w:val="17"/>
              </w:rPr>
              <w:t xml:space="preserve"> </w:t>
            </w:r>
            <w:r>
              <w:rPr>
                <w:rFonts w:ascii="Consolas" w:hAnsi="Consolas" w:cs="Times New Roman"/>
                <w:sz w:val="17"/>
                <w:szCs w:val="17"/>
              </w:rPr>
              <w:t xml:space="preserve">[COUNSEL: §312k BGB; whether it may sit behind sign-in]</w:t>
            </w:r>
          </w:p>
        </w:tc>
      </w:tr>
      <w:tr>
        <w:trPr>
          <w:cantSplit/>
        </w:trPr>
        <w:tc>
          <w:tcPr>
            <w:tcW w:w="4680" w:type="dxa"/>
          </w:tcPr>
          <w:p>
            <w:pPr>
              <w:spacing w:after="40"/>
            </w:pPr>
            <w:r>
              <w:rPr>
                <w:rFonts w:ascii="Times New Roman" w:hAnsi="Times New Roman" w:cs="Times New Roman"/>
                <w:sz w:val="17"/>
                <w:szCs w:val="17"/>
              </w:rPr>
              <w:t xml:space="preserve">France</w:t>
            </w:r>
          </w:p>
        </w:tc>
        <w:tc>
          <w:tcPr>
            <w:tcW w:w="4680" w:type="dxa"/>
          </w:tcPr>
          <w:p>
            <w:pPr>
              <w:spacing w:after="40"/>
            </w:pPr>
            <w:r>
              <w:rPr>
                <w:rFonts w:ascii="Times New Roman" w:hAnsi="Times New Roman" w:cs="Times New Roman"/>
                <w:sz w:val="17"/>
                <w:szCs w:val="17"/>
              </w:rPr>
              <w:t xml:space="preserve">Use the cancellation function at </w:t>
            </w:r>
            <w:r>
              <w:rPr>
                <w:rFonts w:ascii="Consolas" w:hAnsi="Consolas" w:cs="Times New Roman"/>
                <w:sz w:val="17"/>
                <w:szCs w:val="17"/>
              </w:rPr>
              <w:t xml:space="preserve">[ENGINEERING: URL]</w:t>
            </w:r>
            <w:r>
              <w:rPr>
                <w:rFonts w:ascii="Times New Roman" w:hAnsi="Times New Roman" w:cs="Times New Roman"/>
                <w:sz w:val="17"/>
                <w:szCs w:val="17"/>
              </w:rPr>
              <w:t xml:space="preserve"> </w:t>
            </w:r>
            <w:r>
              <w:rPr>
                <w:rFonts w:ascii="Consolas" w:hAnsi="Consolas" w:cs="Times New Roman"/>
                <w:sz w:val="17"/>
                <w:szCs w:val="17"/>
              </w:rPr>
              <w:t xml:space="preserve">[COUNSEL: Code de la consommation L.215-1-1]</w:t>
            </w:r>
          </w:p>
        </w:tc>
      </w:tr>
    </w:tbl>
    <w:p>
      <w:pPr>
        <w:spacing w:after="60"/>
      </w:pPr>
    </w:p>
    <w:p>
      <w:pPr>
        <w:jc w:val="both"/>
      </w:pPr>
      <w:r>
        <w:rPr>
          <w:rFonts w:ascii="Times New Roman" w:hAnsi="Times New Roman" w:cs="Times New Roman"/>
        </w:rPr>
        <w:t xml:space="preserve">Deleting the app does </w:t>
      </w:r>
      <w:r>
        <w:rPr>
          <w:rFonts w:ascii="Times New Roman" w:hAnsi="Times New Roman" w:cs="Times New Roman"/>
          <w:b/>
          <w:bCs/>
        </w:rPr>
        <w:t xml:space="preserve">not</w:t>
      </w:r>
      <w:r>
        <w:rPr>
          <w:rFonts w:ascii="Times New Roman" w:hAnsi="Times New Roman" w:cs="Times New Roman"/>
        </w:rPr>
        <w:t xml:space="preserve"> cancel your subscription. Deleting your account cancels the renewal of a website subscription </w:t>
      </w:r>
      <w:r>
        <w:rPr>
          <w:rFonts w:ascii="Consolas" w:hAnsi="Consolas" w:cs="Times New Roman"/>
        </w:rPr>
        <w:t xml:space="preserve">[ENGINEERING: POL-DEL-001 §1]</w:t>
      </w:r>
      <w:r>
        <w:rPr>
          <w:rFonts w:ascii="Times New Roman" w:hAnsi="Times New Roman" w:cs="Times New Roman"/>
        </w:rPr>
        <w:t xml:space="preserve">, but </w:t>
      </w:r>
      <w:r>
        <w:rPr>
          <w:rFonts w:ascii="Times New Roman" w:hAnsi="Times New Roman" w:cs="Times New Roman"/>
          <w:b/>
          <w:bCs/>
        </w:rPr>
        <w:t xml:space="preserve">not</w:t>
      </w:r>
      <w:r>
        <w:rPr>
          <w:rFonts w:ascii="Times New Roman" w:hAnsi="Times New Roman" w:cs="Times New Roman"/>
        </w:rPr>
        <w:t xml:space="preserve"> of an Apple or Google subscription.</w:t>
      </w:r>
    </w:p>
    <w:p>
      <w:pPr>
        <w:jc w:val="both"/>
      </w:pPr>
      <w:r>
        <w:rPr>
          <w:rFonts w:ascii="Times New Roman" w:hAnsi="Times New Roman" w:cs="Times New Roman"/>
        </w:rPr>
        <w:t xml:space="preserve">To avoid being charged for the next period, cancel before the renewal time shown in your account or store. Times for website purchases are shown in </w:t>
      </w:r>
      <w:r>
        <w:rPr>
          <w:rFonts w:ascii="Consolas" w:hAnsi="Consolas" w:cs="Times New Roman"/>
        </w:rPr>
        <w:t xml:space="preserve">[ENGINEERING: time zone]</w:t>
      </w:r>
      <w:r>
        <w:rPr>
          <w:rFonts w:ascii="Times New Roman" w:hAnsi="Times New Roman" w:cs="Times New Roman"/>
        </w:rPr>
        <w:t xml:space="preserve">.</w:t>
      </w:r>
    </w:p>
    <w:p>
      <w:pPr>
        <w:jc w:val="both"/>
      </w:pPr>
      <w:r>
        <w:rPr>
          <w:rFonts w:ascii="Times New Roman" w:hAnsi="Times New Roman" w:cs="Times New Roman"/>
          <w:b/>
          <w:bCs/>
        </w:rPr>
        <w:t xml:space="preserve">European Union and United Kingdom:</w:t>
      </w:r>
      <w:r>
        <w:rPr>
          <w:rFonts w:ascii="Times New Roman" w:hAnsi="Times New Roman" w:cs="Times New Roman"/>
        </w:rPr>
        <w:t xml:space="preserve"> see Section 4 for your right to withdraw and get a refund.</w:t>
      </w:r>
    </w:p>
    <w:p>
      <w:pPr>
        <w:pStyle w:val="Heading2"/>
        <w:keepNext/>
      </w:pPr>
      <w:r>
        <w:rPr>
          <w:rFonts w:ascii="Times New Roman" w:hAnsi="Times New Roman" w:cs="Times New Roman"/>
        </w:rPr>
        <w:t xml:space="preserve">1A. Subscriptions started before this policy</w:t>
      </w:r>
    </w:p>
    <w:p>
      <w:pPr>
        <w:jc w:val="both"/>
      </w:pPr>
      <w:r>
        <w:rPr>
          <w:rFonts w:ascii="Consolas" w:hAnsi="Consolas" w:cs="Times New Roman"/>
        </w:rPr>
        <w:t xml:space="preserve">[OPEN — COUNSEL (BRF-2026-001 P1-2; RSK-012): remedy for website subscribers who enrolled under the Terms dated 1 September 2025, for example: "If you subscribed on our website before [date], we will ask you to confirm your subscription before your next renewal" or "you may request a refund of renewal charges made before [date]".]</w:t>
      </w:r>
    </w:p>
    <w:p>
      <w:pPr>
        <w:pStyle w:val="Heading2"/>
        <w:keepNext/>
      </w:pPr>
      <w:r>
        <w:rPr>
          <w:rFonts w:ascii="Times New Roman" w:hAnsi="Times New Roman" w:cs="Times New Roman"/>
        </w:rPr>
        <w:t xml:space="preserve">2. Free trials</w:t>
      </w:r>
    </w:p>
    <w:p>
      <w:pPr>
        <w:jc w:val="both"/>
      </w:pPr>
      <w:r>
        <w:rPr>
          <w:rFonts w:ascii="Times New Roman" w:hAnsi="Times New Roman" w:cs="Times New Roman"/>
        </w:rPr>
        <w:t xml:space="preserve">If you cancel a trial before the cancellation deadline, you will not be charged. For trials started through Apple, cancel at least 24 hours before the trial ends </w:t>
      </w:r>
      <w:r>
        <w:rPr>
          <w:rFonts w:ascii="Consolas" w:hAnsi="Consolas" w:cs="Times New Roman"/>
        </w:rPr>
        <w:t xml:space="preserve">[VERIFY: Apple Support 118428; Google Play deadline]</w:t>
      </w:r>
      <w:r>
        <w:rPr>
          <w:rFonts w:ascii="Times New Roman" w:hAnsi="Times New Roman" w:cs="Times New Roman"/>
        </w:rPr>
        <w:t xml:space="preserve">. When you start a trial on our website, we send you a confirmation that states the date the trial ends, the price that will be charged after it and a link to cancel online </w:t>
      </w:r>
      <w:r>
        <w:rPr>
          <w:rFonts w:ascii="Consolas" w:hAnsi="Consolas" w:cs="Times New Roman"/>
        </w:rPr>
        <w:t xml:space="preserve">[ENGINEERING]</w:t>
      </w:r>
      <w:r>
        <w:rPr>
          <w:rFonts w:ascii="Times New Roman" w:hAnsi="Times New Roman" w:cs="Times New Roman"/>
        </w:rPr>
        <w:t xml:space="preserve">. If you cancel a website trial, you keep Premium until the trial ends </w:t>
      </w:r>
      <w:r>
        <w:rPr>
          <w:rFonts w:ascii="Consolas" w:hAnsi="Consolas" w:cs="Times New Roman"/>
        </w:rPr>
        <w:t xml:space="preserve">[ENGINEERING]</w:t>
      </w:r>
      <w:r>
        <w:rPr>
          <w:rFonts w:ascii="Times New Roman" w:hAnsi="Times New Roman" w:cs="Times New Roman"/>
        </w:rPr>
        <w:t xml:space="preserve">. </w:t>
      </w:r>
      <w:r>
        <w:rPr>
          <w:rFonts w:ascii="Consolas" w:hAnsi="Consolas" w:cs="Times New Roman"/>
        </w:rPr>
        <w:t xml:space="preserve">[OPEN: an additional reminder before the trial ends — timing; card-network rules require the reminder content for trials of 7 days or less to be in the sign-up confirmation — EV-406]</w:t>
      </w:r>
    </w:p>
    <w:p>
      <w:pPr>
        <w:pStyle w:val="Heading2"/>
        <w:keepNext/>
      </w:pPr>
      <w:r>
        <w:rPr>
          <w:rFonts w:ascii="Times New Roman" w:hAnsi="Times New Roman" w:cs="Times New Roman"/>
        </w:rPr>
        <w:t xml:space="preserve">3. Refunds for purchases on our website</w:t>
      </w:r>
    </w:p>
    <w:p>
      <w:pPr>
        <w:jc w:val="both"/>
      </w:pPr>
      <w:r>
        <w:rPr>
          <w:rFonts w:ascii="Consolas" w:hAnsi="Consolas" w:cs="Times New Roman"/>
        </w:rPr>
        <w:t xml:space="preserve">[OPEN — BRF-2026-001 D5: choose Alternative A or Alternative B and delete the other]</w:t>
      </w:r>
    </w:p>
    <w:p>
      <w:pPr>
        <w:jc w:val="both"/>
      </w:pPr>
      <w:r>
        <w:rPr>
          <w:rFonts w:ascii="Times New Roman" w:hAnsi="Times New Roman" w:cs="Times New Roman"/>
          <w:b/>
          <w:bCs/>
        </w:rPr>
        <w:t xml:space="preserve">Alternative A — statutory refunds and discretionary review.</w:t>
      </w:r>
      <w:r>
        <w:rPr>
          <w:rFonts w:ascii="Times New Roman" w:hAnsi="Times New Roman" w:cs="Times New Roman"/>
        </w:rPr>
        <w:t xml:space="preserve"> We give refunds where the law requires it, including under Section 4. We also review other refund requests individually and may grant a full or partial refund, for example if you were charged by mistake or could not use the service because of a problem on our side.</w:t>
      </w:r>
    </w:p>
    <w:p>
      <w:pPr>
        <w:jc w:val="both"/>
      </w:pPr>
      <w:r>
        <w:rPr>
          <w:rFonts w:ascii="Times New Roman" w:hAnsi="Times New Roman" w:cs="Times New Roman"/>
          <w:b/>
          <w:bCs/>
        </w:rPr>
        <w:t xml:space="preserve">Alternative B — 30-day refund on your first payment.</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First payment:</w:t>
      </w:r>
      <w:r>
        <w:rPr>
          <w:rFonts w:ascii="Times New Roman" w:hAnsi="Times New Roman" w:cs="Times New Roman"/>
        </w:rPr>
        <w:t xml:space="preserve"> you can request a full refund, including any tax charged, within </w:t>
      </w:r>
      <w:r>
        <w:rPr>
          <w:rFonts w:ascii="Consolas" w:hAnsi="Consolas" w:cs="Times New Roman"/>
        </w:rPr>
        <w:t xml:space="preserve">[OPEN: 30]</w:t>
      </w:r>
      <w:r>
        <w:rPr>
          <w:rFonts w:ascii="Times New Roman" w:hAnsi="Times New Roman" w:cs="Times New Roman"/>
        </w:rPr>
        <w:t xml:space="preserve"> days of your first paid charge. You can use this once per person, account and payment method.</w:t>
      </w:r>
    </w:p>
    <w:p>
      <w:pPr>
        <w:spacing w:after="60"/>
        <w:ind w:left="720" w:hanging="360"/>
      </w:pPr>
      <w:r>
        <w:rPr>
          <w:rFonts w:ascii="Times New Roman" w:hAnsi="Times New Roman" w:cs="Times New Roman"/>
        </w:rPr>
        <w:t xml:space="preserve">•	</w:t>
      </w:r>
      <w:r>
        <w:rPr>
          <w:rFonts w:ascii="Times New Roman" w:hAnsi="Times New Roman" w:cs="Times New Roman"/>
          <w:b/>
          <w:bCs/>
        </w:rPr>
        <w:t xml:space="preserve">Renewals:</w:t>
      </w:r>
      <w:r>
        <w:rPr>
          <w:rFonts w:ascii="Times New Roman" w:hAnsi="Times New Roman" w:cs="Times New Roman"/>
        </w:rPr>
        <w:t xml:space="preserve"> you can request a full refund of a renewal charge within </w:t>
      </w:r>
      <w:r>
        <w:rPr>
          <w:rFonts w:ascii="Consolas" w:hAnsi="Consolas" w:cs="Times New Roman"/>
        </w:rPr>
        <w:t xml:space="preserve">[OPEN: 7]</w:t>
      </w:r>
      <w:r>
        <w:rPr>
          <w:rFonts w:ascii="Times New Roman" w:hAnsi="Times New Roman" w:cs="Times New Roman"/>
        </w:rPr>
        <w:t xml:space="preserve"> days of the renewal.</w:t>
      </w:r>
    </w:p>
    <w:p>
      <w:pPr>
        <w:spacing w:after="60"/>
        <w:ind w:left="720" w:hanging="360"/>
      </w:pPr>
      <w:r>
        <w:rPr>
          <w:rFonts w:ascii="Times New Roman" w:hAnsi="Times New Roman" w:cs="Times New Roman"/>
        </w:rPr>
        <w:t xml:space="preserve">•	</w:t>
      </w:r>
      <w:r>
        <w:rPr>
          <w:rFonts w:ascii="Times New Roman" w:hAnsi="Times New Roman" w:cs="Times New Roman"/>
        </w:rPr>
        <w:t xml:space="preserve">Other requests are reviewed individually, and we will refund where the law requires it.</w:t>
      </w:r>
    </w:p>
    <w:p>
      <w:pPr>
        <w:jc w:val="both"/>
      </w:pPr>
      <w:r>
        <w:rPr>
          <w:rFonts w:ascii="Consolas" w:hAnsi="Consolas" w:cs="Times New Roman"/>
        </w:rPr>
        <w:t xml:space="preserve">[COUNSEL: 16 C.F.R. Part 239 if "money-back" wording is used in advertising; add a claims-register entry before any marketing use]</w:t>
      </w:r>
    </w:p>
    <w:p>
      <w:pPr>
        <w:jc w:val="both"/>
      </w:pPr>
      <w:r>
        <w:rPr>
          <w:rFonts w:ascii="Times New Roman" w:hAnsi="Times New Roman" w:cs="Times New Roman"/>
          <w:b/>
          <w:bCs/>
        </w:rPr>
        <w:t xml:space="preserve">Service failures (both alternatives):</w:t>
      </w:r>
      <w:r>
        <w:rPr>
          <w:rFonts w:ascii="Times New Roman" w:hAnsi="Times New Roman" w:cs="Times New Roman"/>
        </w:rPr>
        <w:t xml:space="preserve"> </w:t>
      </w:r>
      <w:r>
        <w:rPr>
          <w:rFonts w:ascii="Consolas" w:hAnsi="Consolas" w:cs="Times New Roman"/>
        </w:rPr>
        <w:t xml:space="preserve">[OPEN: if Premium is unavailable for more than 72 consecutive hours because of a problem on our side, you can request a pro-rata refund or credit for that time]</w:t>
      </w:r>
      <w:r>
        <w:rPr>
          <w:rFonts w:ascii="Times New Roman" w:hAnsi="Times New Roman" w:cs="Times New Roman"/>
        </w:rPr>
        <w:t xml:space="preserve">.</w:t>
      </w:r>
    </w:p>
    <w:p>
      <w:pPr>
        <w:jc w:val="both"/>
      </w:pPr>
      <w:r>
        <w:rPr>
          <w:rFonts w:ascii="Times New Roman" w:hAnsi="Times New Roman" w:cs="Times New Roman"/>
          <w:b/>
          <w:bCs/>
        </w:rPr>
        <w:t xml:space="preserve">How to request:</w:t>
      </w:r>
      <w:r>
        <w:rPr>
          <w:rFonts w:ascii="Times New Roman" w:hAnsi="Times New Roman" w:cs="Times New Roman"/>
        </w:rPr>
        <w:t xml:space="preserve"> email support@hidzovpn.com from your account email, or include that address in your message, with the date and amount of the charge. Approved refunds are returned to the original payment method </w:t>
      </w:r>
      <w:r>
        <w:rPr>
          <w:rFonts w:ascii="Consolas" w:hAnsi="Consolas" w:cs="Times New Roman"/>
        </w:rPr>
        <w:t xml:space="preserve">[OPEN: within X business days of approval]</w:t>
      </w:r>
      <w:r>
        <w:rPr>
          <w:rFonts w:ascii="Times New Roman" w:hAnsi="Times New Roman" w:cs="Times New Roman"/>
        </w:rPr>
        <w:t xml:space="preserve">. Your bank may take longer to show the refund.</w:t>
      </w:r>
    </w:p>
    <w:p>
      <w:pPr>
        <w:pStyle w:val="Heading2"/>
        <w:keepNext/>
      </w:pPr>
      <w:r>
        <w:rPr>
          <w:rFonts w:ascii="Times New Roman" w:hAnsi="Times New Roman" w:cs="Times New Roman"/>
        </w:rPr>
        <w:t xml:space="preserve">4. Right of withdrawal in the European Union and the United Kingdom</w:t>
      </w:r>
    </w:p>
    <w:p>
      <w:pPr>
        <w:jc w:val="both"/>
      </w:pPr>
      <w:r>
        <w:rPr>
          <w:rFonts w:ascii="Consolas" w:hAnsi="Consolas" w:cs="Times New Roman"/>
        </w:rPr>
        <w:t xml:space="preserve">[COUNSEL: EU/UK consumer counsel to approve this section — EV-232]</w:t>
      </w:r>
    </w:p>
    <w:p>
      <w:pPr>
        <w:jc w:val="both"/>
      </w:pPr>
      <w:r>
        <w:rPr>
          <w:rFonts w:ascii="Times New Roman" w:hAnsi="Times New Roman" w:cs="Times New Roman"/>
        </w:rPr>
        <w:t xml:space="preserve">4.1 If you live in the European Union or the United Kingdom and buy a subscription on our website, you can withdraw from the contract within </w:t>
      </w:r>
      <w:r>
        <w:rPr>
          <w:rFonts w:ascii="Times New Roman" w:hAnsi="Times New Roman" w:cs="Times New Roman"/>
          <w:b/>
          <w:bCs/>
        </w:rPr>
        <w:t xml:space="preserve">14 days</w:t>
      </w:r>
      <w:r>
        <w:rPr>
          <w:rFonts w:ascii="Times New Roman" w:hAnsi="Times New Roman" w:cs="Times New Roman"/>
        </w:rPr>
        <w:t xml:space="preserve"> after the day the contract is concluded, without giving a reason.</w:t>
      </w:r>
    </w:p>
    <w:p>
      <w:pPr>
        <w:jc w:val="both"/>
      </w:pPr>
      <w:r>
        <w:rPr>
          <w:rFonts w:ascii="Times New Roman" w:hAnsi="Times New Roman" w:cs="Times New Roman"/>
        </w:rPr>
        <w:t xml:space="preserve">4.2 To withdraw, use the </w:t>
      </w:r>
      <w:r>
        <w:rPr>
          <w:rFonts w:ascii="Times New Roman" w:hAnsi="Times New Roman" w:cs="Times New Roman"/>
          <w:b/>
          <w:bCs/>
        </w:rPr>
        <w:t xml:space="preserve">"Withdraw from contract here"</w:t>
      </w:r>
      <w:r>
        <w:rPr>
          <w:rFonts w:ascii="Times New Roman" w:hAnsi="Times New Roman" w:cs="Times New Roman"/>
        </w:rPr>
        <w:t xml:space="preserve"> function in your account, then confirm with </w:t>
      </w:r>
      <w:r>
        <w:rPr>
          <w:rFonts w:ascii="Times New Roman" w:hAnsi="Times New Roman" w:cs="Times New Roman"/>
          <w:b/>
          <w:bCs/>
        </w:rPr>
        <w:t xml:space="preserve">"Confirm withdrawal"</w:t>
      </w:r>
      <w:r>
        <w:rPr>
          <w:rFonts w:ascii="Times New Roman" w:hAnsi="Times New Roman" w:cs="Times New Roman"/>
        </w:rPr>
        <w:t xml:space="preserve">; we send you an acknowledgement by email straight away </w:t>
      </w:r>
      <w:r>
        <w:rPr>
          <w:rFonts w:ascii="Consolas" w:hAnsi="Consolas" w:cs="Times New Roman"/>
        </w:rPr>
        <w:t xml:space="preserve">[ENGINEERING: withdrawal function, available throughout the withdrawal period — RSK-051]</w:t>
      </w:r>
      <w:r>
        <w:rPr>
          <w:rFonts w:ascii="Times New Roman" w:hAnsi="Times New Roman" w:cs="Times New Roman"/>
        </w:rPr>
        <w:t xml:space="preserve">. You can also tell us clearly by email to support@hidzovpn.com. You may use the model withdrawal form below, but you do not have to. If you cancel within the 14-day period, we will ask whether you also want to withdraw and receive a refund under this Section </w:t>
      </w:r>
      <w:r>
        <w:rPr>
          <w:rFonts w:ascii="Consolas" w:hAnsi="Consolas" w:cs="Times New Roman"/>
        </w:rPr>
        <w:t xml:space="preserve">[ENGINEERING: prompt in the cancellation flow]</w:t>
      </w:r>
      <w:r>
        <w:rPr>
          <w:rFonts w:ascii="Times New Roman" w:hAnsi="Times New Roman" w:cs="Times New Roman"/>
        </w:rPr>
        <w:t xml:space="preserve">.</w:t>
      </w:r>
    </w:p>
    <w:p>
      <w:pPr>
        <w:jc w:val="both"/>
      </w:pPr>
      <w:r>
        <w:rPr>
          <w:rFonts w:ascii="Times New Roman" w:hAnsi="Times New Roman" w:cs="Times New Roman"/>
        </w:rPr>
        <w:t xml:space="preserve">4.3 If you expressly asked us to start Premium during the withdrawal period and then withdraw, you pay only for the paid service provided until you told us, calculated day by day. You pay nothing for any free-trial period, and nothing at all if you did not make that request. We refund without undue delay and no later than 14 days after we receive your withdrawal, to the payment method you used, free of charge. </w:t>
      </w:r>
      <w:r>
        <w:rPr>
          <w:rFonts w:ascii="Consolas" w:hAnsi="Consolas" w:cs="Times New Roman"/>
        </w:rPr>
        <w:t xml:space="preserve">[COUNSEL: confirm treatment of a VPN subscription as a service contract; checkout must capture the express request and acknowledgement — CRD Arts. 7(3), 8(8), 14(3)–(4); UK CCRs reg. 36]</w:t>
      </w:r>
    </w:p>
    <w:p>
      <w:pPr>
        <w:jc w:val="both"/>
      </w:pPr>
      <w:r>
        <w:rPr>
          <w:rFonts w:ascii="Times New Roman" w:hAnsi="Times New Roman" w:cs="Times New Roman"/>
        </w:rPr>
        <w:t xml:space="preserve">4.4 For purchases through Apple, Apple handles withdrawals under its own process. For Google Play purchases </w:t>
      </w:r>
      <w:r>
        <w:rPr>
          <w:rFonts w:ascii="Consolas" w:hAnsi="Consolas" w:cs="Times New Roman"/>
        </w:rPr>
        <w:t xml:space="preserve">[VERIFY: whether HidzoVPN or Google is the trader for EU/UK withdrawal purposes — EV-232]</w:t>
      </w:r>
      <w:r>
        <w:rPr>
          <w:rFonts w:ascii="Times New Roman" w:hAnsi="Times New Roman" w:cs="Times New Roman"/>
        </w:rPr>
        <w:t xml:space="preserve">.</w:t>
      </w:r>
    </w:p>
    <w:p>
      <w:pPr>
        <w:pStyle w:val="Heading3"/>
        <w:keepNext/>
      </w:pPr>
      <w:r>
        <w:rPr>
          <w:rFonts w:ascii="Times New Roman" w:hAnsi="Times New Roman" w:cs="Times New Roman"/>
        </w:rPr>
        <w:t xml:space="preserve">Model withdrawal form</w:t>
      </w:r>
    </w:p>
    <w:p>
      <w:pPr>
        <w:jc w:val="both"/>
      </w:pPr>
      <w:r>
        <w:rPr>
          <w:rFonts w:ascii="Times New Roman" w:hAnsi="Times New Roman" w:cs="Times New Roman"/>
        </w:rPr>
        <w:t xml:space="preserve">(complete and return this form only if you wish to withdraw from the contract) — To </w:t>
      </w:r>
      <w:r>
        <w:rPr>
          <w:rFonts w:ascii="Consolas" w:hAnsi="Consolas" w:cs="Times New Roman"/>
        </w:rPr>
        <w:t xml:space="preserve">[OPEN: HidzoVPN, Inc., EU/UK business address — DEC-2026-001 §4.4; RSK-046]</w:t>
      </w:r>
      <w:r>
        <w:rPr>
          <w:rFonts w:ascii="Times New Roman" w:hAnsi="Times New Roman" w:cs="Times New Roman"/>
        </w:rPr>
        <w:t xml:space="preserve">, </w:t>
      </w:r>
      <w:r>
        <w:rPr>
          <w:rFonts w:ascii="Consolas" w:hAnsi="Consolas" w:cs="Times New Roman"/>
        </w:rPr>
        <w:t xml:space="preserve">[OPEN: telephone]</w:t>
      </w:r>
      <w:r>
        <w:rPr>
          <w:rFonts w:ascii="Times New Roman" w:hAnsi="Times New Roman" w:cs="Times New Roman"/>
        </w:rPr>
        <w:t xml:space="preserve">, support@hidzovpn.com: — I/We hereby give notice that I/We withdraw from my/our contract for the provision of the following service: HidzoVPN Premium — Ordered on — Name of consumer(s) — Address of consumer(s) — Signature of consumer(s) (only if this form is notified on paper) — Date (Optional: account email, to help us find your account.) </w:t>
      </w:r>
      <w:r>
        <w:rPr>
          <w:rFonts w:ascii="Consolas" w:hAnsi="Consolas" w:cs="Times New Roman"/>
        </w:rPr>
        <w:t xml:space="preserve">[COUNSEL: optional field added to the CRD Annex I(B) model form — acceptable? Annex I(B) text verified first-hand, Cellar consolidated CRD, 2026-09-25]</w:t>
      </w:r>
    </w:p>
    <w:p>
      <w:pPr>
        <w:pStyle w:val="Heading2"/>
        <w:keepNext/>
      </w:pPr>
      <w:r>
        <w:rPr>
          <w:rFonts w:ascii="Times New Roman" w:hAnsi="Times New Roman" w:cs="Times New Roman"/>
        </w:rPr>
        <w:t xml:space="preserve">5. Purchases through Apple or Google</w:t>
      </w:r>
    </w:p>
    <w:p>
      <w:pPr>
        <w:jc w:val="both"/>
      </w:pPr>
      <w:r>
        <w:rPr>
          <w:rFonts w:ascii="Times New Roman" w:hAnsi="Times New Roman" w:cs="Times New Roman"/>
        </w:rPr>
        <w:t xml:space="preserve">5.1 </w:t>
      </w:r>
      <w:r>
        <w:rPr>
          <w:rFonts w:ascii="Times New Roman" w:hAnsi="Times New Roman" w:cs="Times New Roman"/>
          <w:b/>
          <w:bCs/>
        </w:rPr>
        <w:t xml:space="preserve">Apple:</w:t>
      </w:r>
      <w:r>
        <w:rPr>
          <w:rFonts w:ascii="Times New Roman" w:hAnsi="Times New Roman" w:cs="Times New Roman"/>
        </w:rPr>
        <w:t xml:space="preserve"> Apple handles refunds for App Store purchases. We cannot issue refunds for Apple purchases. Request a refund at https://reportaproblem.apple.com.</w:t>
      </w:r>
    </w:p>
    <w:p>
      <w:pPr>
        <w:jc w:val="both"/>
      </w:pPr>
      <w:r>
        <w:rPr>
          <w:rFonts w:ascii="Times New Roman" w:hAnsi="Times New Roman" w:cs="Times New Roman"/>
        </w:rPr>
        <w:t xml:space="preserve">5.2 </w:t>
      </w:r>
      <w:r>
        <w:rPr>
          <w:rFonts w:ascii="Times New Roman" w:hAnsi="Times New Roman" w:cs="Times New Roman"/>
          <w:b/>
          <w:bCs/>
        </w:rPr>
        <w:t xml:space="preserve">Google Play:</w:t>
      </w:r>
      <w:r>
        <w:rPr>
          <w:rFonts w:ascii="Times New Roman" w:hAnsi="Times New Roman" w:cs="Times New Roman"/>
        </w:rPr>
        <w:t xml:space="preserve"> you can ask Google Play for a refund. You can also ask us at support@hidzovpn.com; we apply Section 3 to Google Play subscriptions </w:t>
      </w:r>
      <w:r>
        <w:rPr>
          <w:rFonts w:ascii="Consolas" w:hAnsi="Consolas" w:cs="Times New Roman"/>
        </w:rPr>
        <w:t xml:space="preserve">[OPEN: or state the rule for the Google channel]</w:t>
      </w:r>
      <w:r>
        <w:rPr>
          <w:rFonts w:ascii="Times New Roman" w:hAnsi="Times New Roman" w:cs="Times New Roman"/>
        </w:rPr>
        <w:t xml:space="preserve"> and issue approved refunds through Google Play </w:t>
      </w:r>
      <w:r>
        <w:rPr>
          <w:rFonts w:ascii="Consolas" w:hAnsi="Consolas" w:cs="Times New Roman"/>
        </w:rPr>
        <w:t xml:space="preserve">[VERIFY: Google Play Help 15574908, 15574897 — EV-232]</w:t>
      </w:r>
      <w:r>
        <w:rPr>
          <w:rFonts w:ascii="Times New Roman" w:hAnsi="Times New Roman" w:cs="Times New Roman"/>
        </w:rPr>
        <w:t xml:space="preserve">.</w:t>
      </w:r>
    </w:p>
    <w:p>
      <w:pPr>
        <w:pStyle w:val="Heading2"/>
        <w:keepNext/>
      </w:pPr>
      <w:r>
        <w:rPr>
          <w:rFonts w:ascii="Times New Roman" w:hAnsi="Times New Roman" w:cs="Times New Roman"/>
        </w:rPr>
        <w:t xml:space="preserve">5A. Activation Codes bought from a reseller</w:t>
      </w:r>
    </w:p>
    <w:p>
      <w:pPr>
        <w:jc w:val="both"/>
      </w:pPr>
      <w:r>
        <w:rPr>
          <w:rFonts w:ascii="Consolas" w:hAnsi="Consolas" w:cs="Times New Roman"/>
        </w:rPr>
        <w:t xml:space="preserve">[OPEN — POL-RTOS-001 §0: keep only if a reseller program is launched]</w:t>
      </w:r>
      <w:r>
        <w:rPr>
          <w:rFonts w:ascii="Times New Roman" w:hAnsi="Times New Roman" w:cs="Times New Roman"/>
        </w:rPr>
        <w:t xml:space="preserve"> An Activation Code gives Premium for a fixed period and does not renew, so there is nothing to cancel. Refunds and any statutory withdrawal right for a code are handled by the reseller that sold it. If we deactivate a code because the reseller broke its agreement with us, contact support@hidzovpn.com </w:t>
      </w:r>
      <w:r>
        <w:rPr>
          <w:rFonts w:ascii="Consolas" w:hAnsi="Consolas" w:cs="Times New Roman"/>
        </w:rPr>
        <w:t xml:space="preserve">[COUNSEL: remedy — POL-RTOS-001 §4.3]</w:t>
      </w:r>
      <w:r>
        <w:rPr>
          <w:rFonts w:ascii="Times New Roman" w:hAnsi="Times New Roman" w:cs="Times New Roman"/>
        </w:rPr>
        <w:t xml:space="preserve">.</w:t>
      </w:r>
    </w:p>
    <w:p>
      <w:pPr>
        <w:pStyle w:val="Heading2"/>
        <w:keepNext/>
      </w:pPr>
      <w:r>
        <w:rPr>
          <w:rFonts w:ascii="Times New Roman" w:hAnsi="Times New Roman" w:cs="Times New Roman"/>
        </w:rPr>
        <w:t xml:space="preserve">6. Cryptocurrency purchases</w:t>
      </w:r>
    </w:p>
    <w:p>
      <w:pPr>
        <w:jc w:val="both"/>
      </w:pPr>
      <w:r>
        <w:rPr>
          <w:rFonts w:ascii="Consolas" w:hAnsi="Consolas" w:cs="Times New Roman"/>
        </w:rPr>
        <w:t xml:space="preserve">[OPEN — BRF-2026-001 D7: keep only if cryptocurrency payments are offered]</w:t>
      </w:r>
      <w:r>
        <w:rPr>
          <w:rFonts w:ascii="Times New Roman" w:hAnsi="Times New Roman" w:cs="Times New Roman"/>
        </w:rPr>
        <w:t xml:space="preserve"> Cryptocurrency purchases are one-time prepayments and do not renew automatically. Refunds, where available under this policy, are paid to a wallet address you control, in </w:t>
      </w:r>
      <w:r>
        <w:rPr>
          <w:rFonts w:ascii="Consolas" w:hAnsi="Consolas" w:cs="Times New Roman"/>
        </w:rPr>
        <w:t xml:space="preserve">[OPEN: the same asset / USDC]</w:t>
      </w:r>
      <w:r>
        <w:rPr>
          <w:rFonts w:ascii="Times New Roman" w:hAnsi="Times New Roman" w:cs="Times New Roman"/>
        </w:rPr>
        <w:t xml:space="preserve">, for </w:t>
      </w:r>
      <w:r>
        <w:rPr>
          <w:rFonts w:ascii="Consolas" w:hAnsi="Consolas" w:cs="Times New Roman"/>
        </w:rPr>
        <w:t xml:space="preserve">[OPEN: the U.S. dollar value of your original payment / the amount of cryptocurrency received]</w:t>
      </w:r>
      <w:r>
        <w:rPr>
          <w:rFonts w:ascii="Times New Roman" w:hAnsi="Times New Roman" w:cs="Times New Roman"/>
        </w:rPr>
        <w:t xml:space="preserve">, less network fees. For withdrawals under Section 4, we pay the network fees and refund in the same asset unless you agree otherwise. We do not send refunds to third parties. Blockchain payments cannot be reversed. </w:t>
      </w:r>
      <w:r>
        <w:rPr>
          <w:rFonts w:ascii="Consolas" w:hAnsi="Consolas" w:cs="Times New Roman"/>
        </w:rPr>
        <w:t xml:space="preserve">[COUNSEL: sanctions screening before any refund; money-transmission review before launch]</w:t>
      </w:r>
    </w:p>
    <w:p>
      <w:pPr>
        <w:pStyle w:val="Heading2"/>
        <w:keepNext/>
      </w:pPr>
      <w:r>
        <w:rPr>
          <w:rFonts w:ascii="Times New Roman" w:hAnsi="Times New Roman" w:cs="Times New Roman"/>
        </w:rPr>
        <w:t xml:space="preserve">7. Chargebacks</w:t>
      </w:r>
    </w:p>
    <w:p>
      <w:pPr>
        <w:jc w:val="both"/>
      </w:pPr>
      <w:r>
        <w:rPr>
          <w:rFonts w:ascii="Times New Roman" w:hAnsi="Times New Roman" w:cs="Times New Roman"/>
        </w:rPr>
        <w:t xml:space="preserve">If you think you were charged incorrectly, please contact us first so we can try to resolve it. This does not affect your right to dispute a charge with your bank or card issuer.</w:t>
      </w:r>
    </w:p>
    <w:p>
      <w:pPr>
        <w:pStyle w:val="Heading2"/>
        <w:keepNext/>
      </w:pPr>
      <w:r>
        <w:rPr>
          <w:rFonts w:ascii="Times New Roman" w:hAnsi="Times New Roman" w:cs="Times New Roman"/>
        </w:rPr>
        <w:t xml:space="preserve">8. Contact and complaints</w:t>
      </w:r>
    </w:p>
    <w:p>
      <w:pPr>
        <w:jc w:val="both"/>
      </w:pPr>
      <w:r>
        <w:rPr>
          <w:rFonts w:ascii="Times New Roman" w:hAnsi="Times New Roman" w:cs="Times New Roman"/>
        </w:rPr>
        <w:t xml:space="preserve">HidzoVPN, Inc. · support@hidzovpn.com · Legal Information page: </w:t>
      </w:r>
      <w:r>
        <w:rPr>
          <w:rFonts w:ascii="Consolas" w:hAnsi="Consolas" w:cs="Times New Roman"/>
        </w:rPr>
        <w:t xml:space="preserve">[OPEN: https://hidzovpn.com/legal]</w:t>
      </w:r>
      <w:r>
        <w:rPr>
          <w:rFonts w:ascii="Times New Roman" w:hAnsi="Times New Roman" w:cs="Times New Roman"/>
        </w:rPr>
        <w:t xml:space="preserve"> </w:t>
      </w:r>
      <w:r>
        <w:rPr>
          <w:rFonts w:ascii="Consolas" w:hAnsi="Consolas" w:cs="Times New Roman"/>
        </w:rPr>
        <w:t xml:space="preserve">[OPEN: state a response time only if support can meet it]</w:t>
      </w:r>
      <w:r>
        <w:rPr>
          <w:rFonts w:ascii="Times New Roman" w:hAnsi="Times New Roman" w:cs="Times New Roman"/>
        </w:rPr>
        <w:t xml:space="preserve"> </w:t>
      </w:r>
      <w:r>
        <w:rPr>
          <w:rFonts w:ascii="Consolas" w:hAnsi="Consolas" w:cs="Times New Roman"/>
        </w:rPr>
        <w:t xml:space="preserve">[OPEN: link to a complaints procedure — Payments Rulebook §5.6]</w:t>
      </w:r>
    </w:p>
    <w:p>
      <w:pPr>
        <w:pStyle w:val="Heading2"/>
        <w:keepNext/>
      </w:pPr>
      <w:r>
        <w:rPr>
          <w:rFonts w:ascii="Times New Roman" w:hAnsi="Times New Roman" w:cs="Times New Roman"/>
        </w:rPr>
        <w:t xml:space="preserve">Part C — Drafting notes (internal)</w:t>
      </w:r>
    </w:p>
    <w:p>
      <w:pPr>
        <w:pStyle w:val="Heading3"/>
        <w:keepNext/>
      </w:pPr>
      <w:r>
        <w:rPr>
          <w:rFonts w:ascii="Times New Roman" w:hAnsi="Times New Roman" w:cs="Times New Roman"/>
        </w:rPr>
        <w:t xml:space="preserve">C.1 Legal basis</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cantSplit/>
        </w:trPr>
        <w:tc>
          <w:tcPr>
            <w:tcW w:w="3120" w:type="dxa"/>
            <w:shd w:val="clear" w:color="auto" w:fill="D9D9D9"/>
          </w:tcPr>
          <w:p>
            <w:pPr>
              <w:spacing w:after="40"/>
            </w:pPr>
            <w:r>
              <w:rPr>
                <w:rFonts w:ascii="Times New Roman" w:hAnsi="Times New Roman" w:cs="Times New Roman"/>
                <w:b/>
                <w:bCs/>
                <w:sz w:val="17"/>
                <w:szCs w:val="17"/>
              </w:rPr>
              <w:t xml:space="preserve">Element</w:t>
            </w:r>
          </w:p>
        </w:tc>
        <w:tc>
          <w:tcPr>
            <w:tcW w:w="3120" w:type="dxa"/>
            <w:shd w:val="clear" w:color="auto" w:fill="D9D9D9"/>
          </w:tcPr>
          <w:p>
            <w:pPr>
              <w:spacing w:after="40"/>
            </w:pPr>
            <w:r>
              <w:rPr>
                <w:rFonts w:ascii="Times New Roman" w:hAnsi="Times New Roman" w:cs="Times New Roman"/>
                <w:b/>
                <w:bCs/>
                <w:sz w:val="17"/>
                <w:szCs w:val="17"/>
              </w:rPr>
              <w:t xml:space="preserve">Basis</w:t>
            </w:r>
          </w:p>
        </w:tc>
        <w:tc>
          <w:tcPr>
            <w:tcW w:w="3120" w:type="dxa"/>
            <w:shd w:val="clear" w:color="auto" w:fill="D9D9D9"/>
          </w:tcPr>
          <w:p>
            <w:pPr>
              <w:spacing w:after="40"/>
            </w:pPr>
            <w:r>
              <w:rPr>
                <w:rFonts w:ascii="Times New Roman" w:hAnsi="Times New Roman" w:cs="Times New Roman"/>
                <w:b/>
                <w:bCs/>
                <w:sz w:val="17"/>
                <w:szCs w:val="17"/>
              </w:rPr>
              <w:t xml:space="preserve">Label</w:t>
            </w:r>
          </w:p>
        </w:tc>
      </w:tr>
      <w:tr>
        <w:trPr>
          <w:cantSplit/>
        </w:trPr>
        <w:tc>
          <w:tcPr>
            <w:tcW w:w="3120" w:type="dxa"/>
          </w:tcPr>
          <w:p>
            <w:pPr>
              <w:spacing w:after="40"/>
            </w:pPr>
            <w:r>
              <w:rPr>
                <w:rFonts w:ascii="Times New Roman" w:hAnsi="Times New Roman" w:cs="Times New Roman"/>
                <w:sz w:val="17"/>
                <w:szCs w:val="17"/>
              </w:rPr>
              <w:t xml:space="preserve">Cancellation that is simple and online</w:t>
            </w:r>
          </w:p>
        </w:tc>
        <w:tc>
          <w:tcPr>
            <w:tcW w:w="3120" w:type="dxa"/>
          </w:tcPr>
          <w:p>
            <w:pPr>
              <w:spacing w:after="40"/>
            </w:pPr>
            <w:r>
              <w:rPr>
                <w:rFonts w:ascii="Times New Roman" w:hAnsi="Times New Roman" w:cs="Times New Roman"/>
                <w:sz w:val="17"/>
                <w:szCs w:val="17"/>
              </w:rPr>
              <w:t xml:space="preserve">ROSCA, 15 U.S.C. §8403(3); Cal. Bus. &amp; Prof. Code §17602(d)</w:t>
            </w:r>
          </w:p>
        </w:tc>
        <w:tc>
          <w:tcPr>
            <w:tcW w:w="3120" w:type="dxa"/>
          </w:tcPr>
          <w:p>
            <w:pPr>
              <w:spacing w:after="40"/>
            </w:pPr>
            <w:r>
              <w:rPr>
                <w:rFonts w:ascii="Times New Roman" w:hAnsi="Times New Roman" w:cs="Times New Roman"/>
                <w:sz w:val="17"/>
                <w:szCs w:val="17"/>
              </w:rPr>
              <w:t xml:space="preserve">Reported </w:t>
            </w:r>
            <w:r>
              <w:rPr>
                <w:rFonts w:ascii="Consolas" w:hAnsi="Consolas" w:cs="Times New Roman"/>
                <w:sz w:val="17"/>
                <w:szCs w:val="17"/>
              </w:rPr>
              <w:t xml:space="preserve">[VERIFY]</w:t>
            </w:r>
            <w:r>
              <w:rPr>
                <w:rFonts w:ascii="Times New Roman" w:hAnsi="Times New Roman" w:cs="Times New Roman"/>
                <w:sz w:val="17"/>
                <w:szCs w:val="17"/>
              </w:rPr>
              <w:t xml:space="preserve"> (EV-225, EV-226)</w:t>
            </w:r>
          </w:p>
        </w:tc>
      </w:tr>
      <w:tr>
        <w:trPr>
          <w:cantSplit/>
        </w:trPr>
        <w:tc>
          <w:tcPr>
            <w:tcW w:w="3120" w:type="dxa"/>
          </w:tcPr>
          <w:p>
            <w:pPr>
              <w:spacing w:after="40"/>
            </w:pPr>
            <w:r>
              <w:rPr>
                <w:rFonts w:ascii="Times New Roman" w:hAnsi="Times New Roman" w:cs="Times New Roman"/>
                <w:sz w:val="17"/>
                <w:szCs w:val="17"/>
              </w:rPr>
              <w:t xml:space="preserve">Trial confirmation and reminders</w:t>
            </w:r>
          </w:p>
        </w:tc>
        <w:tc>
          <w:tcPr>
            <w:tcW w:w="3120" w:type="dxa"/>
          </w:tcPr>
          <w:p>
            <w:pPr>
              <w:spacing w:after="40"/>
            </w:pPr>
            <w:r>
              <w:rPr>
                <w:rFonts w:ascii="Times New Roman" w:hAnsi="Times New Roman" w:cs="Times New Roman"/>
                <w:sz w:val="17"/>
                <w:szCs w:val="17"/>
              </w:rPr>
              <w:t xml:space="preserve">Cal. Bus. &amp; Prof. Code §17602; card-network trial rules (Visa)</w:t>
            </w:r>
          </w:p>
        </w:tc>
        <w:tc>
          <w:tcPr>
            <w:tcW w:w="3120" w:type="dxa"/>
          </w:tcPr>
          <w:p>
            <w:pPr>
              <w:spacing w:after="40"/>
            </w:pPr>
            <w:r>
              <w:rPr>
                <w:rFonts w:ascii="Times New Roman" w:hAnsi="Times New Roman" w:cs="Times New Roman"/>
                <w:sz w:val="17"/>
                <w:szCs w:val="17"/>
              </w:rPr>
              <w:t xml:space="preserve">Reported (EV-226, EV-406)</w:t>
            </w:r>
          </w:p>
        </w:tc>
      </w:tr>
      <w:tr>
        <w:trPr>
          <w:cantSplit/>
        </w:trPr>
        <w:tc>
          <w:tcPr>
            <w:tcW w:w="3120" w:type="dxa"/>
          </w:tcPr>
          <w:p>
            <w:pPr>
              <w:spacing w:after="40"/>
            </w:pPr>
            <w:r>
              <w:rPr>
                <w:rFonts w:ascii="Times New Roman" w:hAnsi="Times New Roman" w:cs="Times New Roman"/>
                <w:sz w:val="17"/>
                <w:szCs w:val="17"/>
              </w:rPr>
              <w:t xml:space="preserve">Other state automatic-renewal laws (NY, FL, others)</w:t>
            </w:r>
          </w:p>
        </w:tc>
        <w:tc>
          <w:tcPr>
            <w:tcW w:w="3120" w:type="dxa"/>
          </w:tcPr>
          <w:p>
            <w:pPr>
              <w:spacing w:after="40"/>
            </w:pPr>
            <w:r>
              <w:rPr>
                <w:rFonts w:ascii="Consolas" w:hAnsi="Consolas" w:cs="Times New Roman"/>
                <w:sz w:val="17"/>
                <w:szCs w:val="17"/>
              </w:rPr>
              <w:t xml:space="preserve">[VERIFY: EV-232]</w:t>
            </w:r>
          </w:p>
        </w:tc>
        <w:tc>
          <w:tcPr>
            <w:tcW w:w="3120" w:type="dxa"/>
          </w:tcPr>
          <w:p>
            <w:pPr>
              <w:spacing w:after="40"/>
            </w:pPr>
            <w:r>
              <w:rPr>
                <w:rFonts w:ascii="Times New Roman" w:hAnsi="Times New Roman" w:cs="Times New Roman"/>
                <w:sz w:val="17"/>
                <w:szCs w:val="17"/>
              </w:rPr>
              <w:t xml:space="preserve">Pending</w:t>
            </w:r>
          </w:p>
        </w:tc>
      </w:tr>
      <w:tr>
        <w:trPr>
          <w:cantSplit/>
        </w:trPr>
        <w:tc>
          <w:tcPr>
            <w:tcW w:w="3120" w:type="dxa"/>
          </w:tcPr>
          <w:p>
            <w:pPr>
              <w:spacing w:after="40"/>
            </w:pPr>
            <w:r>
              <w:rPr>
                <w:rFonts w:ascii="Times New Roman" w:hAnsi="Times New Roman" w:cs="Times New Roman"/>
                <w:sz w:val="17"/>
                <w:szCs w:val="17"/>
              </w:rPr>
              <w:t xml:space="preserve">EU/UK 14-day withdrawal; proportionate payment; loss on full performance with express request and acknowledgement; withdrawal function ("withdraw from contract here" / "confirm withdrawal"; acknowledgement on a durable medium)</w:t>
            </w:r>
          </w:p>
        </w:tc>
        <w:tc>
          <w:tcPr>
            <w:tcW w:w="3120" w:type="dxa"/>
          </w:tcPr>
          <w:p>
            <w:pPr>
              <w:spacing w:after="40"/>
            </w:pPr>
            <w:r>
              <w:rPr>
                <w:rFonts w:ascii="Times New Roman" w:hAnsi="Times New Roman" w:cs="Times New Roman"/>
                <w:sz w:val="17"/>
                <w:szCs w:val="17"/>
              </w:rPr>
              <w:t xml:space="preserve">CRD 2011/83/EU Arts. 9, 14(3), 16(a) (as amended by 2019/2161), 11a (Directive (EU) 2023/2673, applied from 19 June 2026); UK CCRs 2013 regs. 29–36</w:t>
            </w:r>
          </w:p>
        </w:tc>
        <w:tc>
          <w:tcPr>
            <w:tcW w:w="3120" w:type="dxa"/>
          </w:tcPr>
          <w:p>
            <w:pPr>
              <w:spacing w:after="40"/>
            </w:pPr>
            <w:r>
              <w:rPr>
                <w:rFonts w:ascii="Times New Roman" w:hAnsi="Times New Roman" w:cs="Times New Roman"/>
                <w:sz w:val="17"/>
                <w:szCs w:val="17"/>
              </w:rPr>
              <w:t xml:space="preserve">Reported (EV-232)</w:t>
            </w:r>
          </w:p>
        </w:tc>
      </w:tr>
      <w:tr>
        <w:trPr>
          <w:cantSplit/>
        </w:trPr>
        <w:tc>
          <w:tcPr>
            <w:tcW w:w="3120" w:type="dxa"/>
          </w:tcPr>
          <w:p>
            <w:pPr>
              <w:spacing w:after="40"/>
            </w:pPr>
            <w:r>
              <w:rPr>
                <w:rFonts w:ascii="Times New Roman" w:hAnsi="Times New Roman" w:cs="Times New Roman"/>
                <w:sz w:val="17"/>
                <w:szCs w:val="17"/>
              </w:rPr>
              <w:t xml:space="preserve">Pre-contract information on the withdrawal right; extension to 12 months if omitted</w:t>
            </w:r>
          </w:p>
        </w:tc>
        <w:tc>
          <w:tcPr>
            <w:tcW w:w="3120" w:type="dxa"/>
          </w:tcPr>
          <w:p>
            <w:pPr>
              <w:spacing w:after="40"/>
            </w:pPr>
            <w:r>
              <w:rPr>
                <w:rFonts w:ascii="Times New Roman" w:hAnsi="Times New Roman" w:cs="Times New Roman"/>
                <w:sz w:val="17"/>
                <w:szCs w:val="17"/>
              </w:rPr>
              <w:t xml:space="preserve">CRD Arts. 6(1)(h), 10</w:t>
            </w:r>
          </w:p>
        </w:tc>
        <w:tc>
          <w:tcPr>
            <w:tcW w:w="3120" w:type="dxa"/>
          </w:tcPr>
          <w:p>
            <w:pPr>
              <w:spacing w:after="40"/>
            </w:pPr>
            <w:r>
              <w:rPr>
                <w:rFonts w:ascii="Times New Roman" w:hAnsi="Times New Roman" w:cs="Times New Roman"/>
                <w:sz w:val="17"/>
                <w:szCs w:val="17"/>
              </w:rPr>
              <w:t xml:space="preserve">Reported (EV-406) </w:t>
            </w:r>
            <w:r>
              <w:rPr>
                <w:rFonts w:ascii="Consolas" w:hAnsi="Consolas" w:cs="Times New Roman"/>
                <w:sz w:val="17"/>
                <w:szCs w:val="17"/>
              </w:rPr>
              <w:t xml:space="preserve">[VERIFY]</w:t>
            </w:r>
            <w:r>
              <w:rPr>
                <w:rFonts w:ascii="Times New Roman" w:hAnsi="Times New Roman" w:cs="Times New Roman"/>
                <w:sz w:val="17"/>
                <w:szCs w:val="17"/>
              </w:rPr>
              <w:t xml:space="preserve"> — checkout must show the information and obtain the express request and acknowledgement </w:t>
            </w:r>
            <w:r>
              <w:rPr>
                <w:rFonts w:ascii="Consolas" w:hAnsi="Consolas" w:cs="Times New Roman"/>
                <w:sz w:val="17"/>
                <w:szCs w:val="17"/>
              </w:rPr>
              <w:t xml:space="preserve">[ENGINEERING]</w:t>
            </w:r>
          </w:p>
        </w:tc>
      </w:tr>
      <w:tr>
        <w:trPr>
          <w:cantSplit/>
        </w:trPr>
        <w:tc>
          <w:tcPr>
            <w:tcW w:w="3120" w:type="dxa"/>
          </w:tcPr>
          <w:p>
            <w:pPr>
              <w:spacing w:after="40"/>
            </w:pPr>
            <w:r>
              <w:rPr>
                <w:rFonts w:ascii="Times New Roman" w:hAnsi="Times New Roman" w:cs="Times New Roman"/>
                <w:sz w:val="17"/>
                <w:szCs w:val="17"/>
              </w:rPr>
              <w:t xml:space="preserve">Germany "cancel contracts here" button; France three-click cancellation</w:t>
            </w:r>
          </w:p>
        </w:tc>
        <w:tc>
          <w:tcPr>
            <w:tcW w:w="3120" w:type="dxa"/>
          </w:tcPr>
          <w:p>
            <w:pPr>
              <w:spacing w:after="40"/>
            </w:pPr>
            <w:r>
              <w:rPr>
                <w:rFonts w:ascii="Times New Roman" w:hAnsi="Times New Roman" w:cs="Times New Roman"/>
                <w:sz w:val="17"/>
                <w:szCs w:val="17"/>
              </w:rPr>
              <w:t xml:space="preserve">§312k BGB; Code de la consommation L.215-1-1</w:t>
            </w:r>
          </w:p>
        </w:tc>
        <w:tc>
          <w:tcPr>
            <w:tcW w:w="3120" w:type="dxa"/>
          </w:tcPr>
          <w:p>
            <w:pPr>
              <w:spacing w:after="40"/>
            </w:pPr>
            <w:r>
              <w:rPr>
                <w:rFonts w:ascii="Times New Roman" w:hAnsi="Times New Roman" w:cs="Times New Roman"/>
                <w:sz w:val="17"/>
                <w:szCs w:val="17"/>
              </w:rPr>
              <w:t xml:space="preserve">Reported (EV-406) </w:t>
            </w:r>
            <w:r>
              <w:rPr>
                <w:rFonts w:ascii="Consolas" w:hAnsi="Consolas" w:cs="Times New Roman"/>
                <w:sz w:val="17"/>
                <w:szCs w:val="17"/>
              </w:rPr>
              <w:t xml:space="preserve">[VERIFY]</w:t>
            </w:r>
          </w:p>
        </w:tc>
      </w:tr>
      <w:tr>
        <w:trPr>
          <w:cantSplit/>
        </w:trPr>
        <w:tc>
          <w:tcPr>
            <w:tcW w:w="3120" w:type="dxa"/>
          </w:tcPr>
          <w:p>
            <w:pPr>
              <w:spacing w:after="40"/>
            </w:pPr>
            <w:r>
              <w:rPr>
                <w:rFonts w:ascii="Times New Roman" w:hAnsi="Times New Roman" w:cs="Times New Roman"/>
                <w:sz w:val="17"/>
                <w:szCs w:val="17"/>
              </w:rPr>
              <w:t xml:space="preserve">No link to the EU ODR platform</w:t>
            </w:r>
          </w:p>
        </w:tc>
        <w:tc>
          <w:tcPr>
            <w:tcW w:w="3120" w:type="dxa"/>
          </w:tcPr>
          <w:p>
            <w:pPr>
              <w:spacing w:after="40"/>
            </w:pPr>
            <w:r>
              <w:rPr>
                <w:rFonts w:ascii="Times New Roman" w:hAnsi="Times New Roman" w:cs="Times New Roman"/>
                <w:sz w:val="17"/>
                <w:szCs w:val="17"/>
              </w:rPr>
              <w:t xml:space="preserve">Regulation (EU) 2024/3228 repealed Regulation 524/2013 with effect from 20 July 2025</w:t>
            </w:r>
          </w:p>
        </w:tc>
        <w:tc>
          <w:tcPr>
            <w:tcW w:w="3120" w:type="dxa"/>
          </w:tcPr>
          <w:p>
            <w:pPr>
              <w:spacing w:after="40"/>
            </w:pPr>
            <w:r>
              <w:rPr>
                <w:rFonts w:ascii="Times New Roman" w:hAnsi="Times New Roman" w:cs="Times New Roman"/>
                <w:sz w:val="17"/>
                <w:szCs w:val="17"/>
              </w:rPr>
              <w:t xml:space="preserve">Reported (EV-232)</w:t>
            </w:r>
          </w:p>
        </w:tc>
      </w:tr>
      <w:tr>
        <w:trPr>
          <w:cantSplit/>
        </w:trPr>
        <w:tc>
          <w:tcPr>
            <w:tcW w:w="3120" w:type="dxa"/>
          </w:tcPr>
          <w:p>
            <w:pPr>
              <w:spacing w:after="40"/>
            </w:pPr>
            <w:r>
              <w:rPr>
                <w:rFonts w:ascii="Times New Roman" w:hAnsi="Times New Roman" w:cs="Times New Roman"/>
                <w:sz w:val="17"/>
                <w:szCs w:val="17"/>
              </w:rPr>
              <w:t xml:space="preserve">Apple/Google control store refunds</w:t>
            </w:r>
          </w:p>
        </w:tc>
        <w:tc>
          <w:tcPr>
            <w:tcW w:w="3120" w:type="dxa"/>
          </w:tcPr>
          <w:p>
            <w:pPr>
              <w:spacing w:after="40"/>
            </w:pPr>
            <w:r>
              <w:rPr>
                <w:rFonts w:ascii="Times New Roman" w:hAnsi="Times New Roman" w:cs="Times New Roman"/>
                <w:sz w:val="17"/>
                <w:szCs w:val="17"/>
              </w:rPr>
              <w:t xml:space="preserve">Store rules</w:t>
            </w:r>
          </w:p>
        </w:tc>
        <w:tc>
          <w:tcPr>
            <w:tcW w:w="3120" w:type="dxa"/>
          </w:tcPr>
          <w:p>
            <w:pPr>
              <w:spacing w:after="40"/>
            </w:pPr>
            <w:r>
              <w:rPr>
                <w:rFonts w:ascii="Times New Roman" w:hAnsi="Times New Roman" w:cs="Times New Roman"/>
                <w:sz w:val="17"/>
                <w:szCs w:val="17"/>
              </w:rPr>
              <w:t xml:space="preserve">Reported (EV-218, EV-406)</w:t>
            </w:r>
          </w:p>
        </w:tc>
      </w:tr>
    </w:tbl>
    <w:p>
      <w:pPr>
        <w:spacing w:after="60"/>
      </w:pPr>
    </w:p>
    <w:p>
      <w:pPr>
        <w:pStyle w:val="Heading3"/>
        <w:keepNext/>
      </w:pPr>
      <w:r>
        <w:rPr>
          <w:rFonts w:ascii="Times New Roman" w:hAnsi="Times New Roman" w:cs="Times New Roman"/>
        </w:rPr>
        <w:t xml:space="preserve">C.2 Operational commitments that must exist before publication</w:t>
      </w:r>
    </w:p>
    <w:p>
      <w:pPr>
        <w:jc w:val="both"/>
      </w:pPr>
      <w:r>
        <w:rPr>
          <w:rFonts w:ascii="Times New Roman" w:hAnsi="Times New Roman" w:cs="Times New Roman"/>
        </w:rPr>
        <w:t xml:space="preserve">Web cancellation page; EU/UK withdrawal function (two-step, with acknowledgement on a durable medium — reported requirement); trial confirmation email; refund processing within the stated time; logging of consent and cancellation events for dispute evidence (Payments Rulebook §6.2).</w:t>
      </w:r>
    </w:p>
    <w:p>
      <w:pPr>
        <w:pStyle w:val="Heading3"/>
        <w:keepNext/>
      </w:pPr>
      <w:r>
        <w:rPr>
          <w:rFonts w:ascii="Times New Roman" w:hAnsi="Times New Roman" w:cs="Times New Roman"/>
        </w:rPr>
        <w:t xml:space="preserve">C.3 Consistency</w:t>
      </w:r>
    </w:p>
    <w:p>
      <w:pPr>
        <w:jc w:val="both"/>
      </w:pPr>
      <w:r>
        <w:rPr>
          <w:rFonts w:ascii="Times New Roman" w:hAnsi="Times New Roman" w:cs="Times New Roman"/>
        </w:rPr>
        <w:t xml:space="preserve">Terms §§10–13; checkout disclosure (Rulebook §5.3); store listings; marketing ("cancel anytime"); POL-ID-001 contacts.</w:t>
      </w:r>
    </w:p>
    <w:p>
      <w:pPr>
        <w:pStyle w:val="Heading3"/>
        <w:keepNext/>
      </w:pPr>
      <w:r>
        <w:rPr>
          <w:rFonts w:ascii="Times New Roman" w:hAnsi="Times New Roman" w:cs="Times New Roman"/>
        </w:rPr>
        <w:t xml:space="preserve">C.3a Additional internal items (from full review)</w:t>
      </w:r>
    </w:p>
    <w:p>
      <w:pPr>
        <w:jc w:val="both"/>
      </w:pPr>
      <w:r>
        <w:rPr>
          <w:rFonts w:ascii="Times New Roman" w:hAnsi="Times New Roman" w:cs="Times New Roman"/>
        </w:rPr>
        <w:t xml:space="preserve">Annual reminder for monthly plans (Cal. Bus. &amp; Prof. Code §17602(h)(1)) — in ToS §11.3; refund currency, exchange rate and tax treatment </w:t>
      </w:r>
      <w:r>
        <w:rPr>
          <w:rFonts w:ascii="Consolas" w:hAnsi="Consolas" w:cs="Times New Roman"/>
        </w:rPr>
        <w:t xml:space="preserve">[OPEN]</w:t>
      </w:r>
      <w:r>
        <w:rPr>
          <w:rFonts w:ascii="Times New Roman" w:hAnsi="Times New Roman" w:cs="Times New Roman"/>
        </w:rPr>
        <w:t xml:space="preserve">; Apple consumption data shared in response to refund requests </w:t>
      </w:r>
      <w:r>
        <w:rPr>
          <w:rFonts w:ascii="Consolas" w:hAnsi="Consolas" w:cs="Times New Roman"/>
        </w:rPr>
        <w:t xml:space="preserve">[COUNSEL: privacy / no-logs consistency]</w:t>
      </w:r>
      <w:r>
        <w:rPr>
          <w:rFonts w:ascii="Times New Roman" w:hAnsi="Times New Roman" w:cs="Times New Roman"/>
        </w:rPr>
        <w:t xml:space="preserve">; sanctions screening before any refund </w:t>
      </w:r>
      <w:r>
        <w:rPr>
          <w:rFonts w:ascii="Consolas" w:hAnsi="Consolas" w:cs="Times New Roman"/>
        </w:rPr>
        <w:t xml:space="preserve">[COUNSEL]</w:t>
      </w:r>
      <w:r>
        <w:rPr>
          <w:rFonts w:ascii="Times New Roman" w:hAnsi="Times New Roman" w:cs="Times New Roman"/>
        </w:rPr>
        <w:t xml:space="preserve">; EU Digital Content Directive conformity remedies alongside the service-failure credit </w:t>
      </w:r>
      <w:r>
        <w:rPr>
          <w:rFonts w:ascii="Consolas" w:hAnsi="Consolas" w:cs="Times New Roman"/>
        </w:rPr>
        <w:t xml:space="preserve">[COUNSEL]</w:t>
      </w:r>
      <w:r>
        <w:rPr>
          <w:rFonts w:ascii="Times New Roman" w:hAnsi="Times New Roman" w:cs="Times New Roman"/>
        </w:rPr>
        <w:t xml:space="preserve">.</w:t>
      </w:r>
    </w:p>
    <w:p>
      <w:pPr>
        <w:pStyle w:val="Heading3"/>
        <w:keepNext/>
      </w:pPr>
      <w:r>
        <w:rPr>
          <w:rFonts w:ascii="Times New Roman" w:hAnsi="Times New Roman" w:cs="Times New Roman"/>
        </w:rPr>
        <w:t xml:space="preserve">C.4 Limits of this analysis</w:t>
      </w:r>
    </w:p>
    <w:p>
      <w:pPr>
        <w:jc w:val="both"/>
      </w:pPr>
      <w:r>
        <w:rPr>
          <w:rFonts w:ascii="Times New Roman" w:hAnsi="Times New Roman" w:cs="Times New Roman"/>
        </w:rPr>
        <w:t xml:space="preserve">Verified first-hand: none of the refund-specific law in this cycle. Reported: all items in C.1. Not reviewed: consumer law of other countries where the Services are marketed (Turkey, Indonesia, Saudi Arabia, UAE and others); card-network rules beyond the Rulebook summary. Counsel required: U.S. consumer; EU/UK consumer.</w:t>
      </w:r>
    </w:p>
    <w:p>
      <w:pPr>
        <w:pStyle w:val="Heading3"/>
        <w:keepNext/>
      </w:pPr>
      <w:r>
        <w:rPr>
          <w:rFonts w:ascii="Times New Roman" w:hAnsi="Times New Roman" w:cs="Times New Roman"/>
        </w:rPr>
        <w:t xml:space="preserve">C.5 Review log</w:t>
      </w:r>
    </w:p>
    <w:tbl>
      <w:tblPr>
        <w:tblStyle w:val="TableGrid"/>
        <w:tblW w:w="93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2340"/>
        <w:gridCol w:w="2340"/>
        <w:gridCol w:w="2340"/>
        <w:gridCol w:w="2340"/>
      </w:tblGrid>
      <w:tr>
        <w:trPr>
          <w:tblHeader/>
          <w:cantSplit/>
        </w:trPr>
        <w:tc>
          <w:tcPr>
            <w:tcW w:w="2340" w:type="dxa"/>
            <w:shd w:val="clear" w:color="auto" w:fill="D9D9D9"/>
          </w:tcPr>
          <w:p>
            <w:pPr>
              <w:spacing w:after="40"/>
            </w:pPr>
            <w:r>
              <w:rPr>
                <w:rFonts w:ascii="Times New Roman" w:hAnsi="Times New Roman" w:cs="Times New Roman"/>
                <w:b/>
                <w:bCs/>
                <w:sz w:val="17"/>
                <w:szCs w:val="17"/>
              </w:rPr>
              <w:t xml:space="preserve">Date</w:t>
            </w:r>
          </w:p>
        </w:tc>
        <w:tc>
          <w:tcPr>
            <w:tcW w:w="2340" w:type="dxa"/>
            <w:shd w:val="clear" w:color="auto" w:fill="D9D9D9"/>
          </w:tcPr>
          <w:p>
            <w:pPr>
              <w:spacing w:after="40"/>
            </w:pPr>
            <w:r>
              <w:rPr>
                <w:rFonts w:ascii="Times New Roman" w:hAnsi="Times New Roman" w:cs="Times New Roman"/>
                <w:b/>
                <w:bCs/>
                <w:sz w:val="17"/>
                <w:szCs w:val="17"/>
              </w:rPr>
              <w:t xml:space="preserve">Reviewer</w:t>
            </w:r>
          </w:p>
        </w:tc>
        <w:tc>
          <w:tcPr>
            <w:tcW w:w="2340" w:type="dxa"/>
            <w:shd w:val="clear" w:color="auto" w:fill="D9D9D9"/>
          </w:tcPr>
          <w:p>
            <w:pPr>
              <w:spacing w:after="40"/>
            </w:pPr>
            <w:r>
              <w:rPr>
                <w:rFonts w:ascii="Times New Roman" w:hAnsi="Times New Roman" w:cs="Times New Roman"/>
                <w:b/>
                <w:bCs/>
                <w:sz w:val="17"/>
                <w:szCs w:val="17"/>
              </w:rPr>
              <w:t xml:space="preserve">Verdict</w:t>
            </w:r>
          </w:p>
        </w:tc>
        <w:tc>
          <w:tcPr>
            <w:tcW w:w="2340" w:type="dxa"/>
            <w:shd w:val="clear" w:color="auto" w:fill="D9D9D9"/>
          </w:tcPr>
          <w:p>
            <w:pPr>
              <w:spacing w:after="40"/>
            </w:pPr>
            <w:r>
              <w:rPr>
                <w:rFonts w:ascii="Times New Roman" w:hAnsi="Times New Roman" w:cs="Times New Roman"/>
                <w:b/>
                <w:bCs/>
                <w:sz w:val="17"/>
                <w:szCs w:val="17"/>
              </w:rPr>
              <w:t xml:space="preserve">Notes</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Drafted</w:t>
            </w:r>
          </w:p>
        </w:tc>
        <w:tc>
          <w:tcPr>
            <w:tcW w:w="2340" w:type="dxa"/>
          </w:tcPr>
          <w:p>
            <w:pPr>
              <w:spacing w:after="40"/>
            </w:pPr>
            <w:r>
              <w:rPr>
                <w:rFonts w:ascii="Times New Roman" w:hAnsi="Times New Roman" w:cs="Times New Roman"/>
                <w:sz w:val="17"/>
                <w:szCs w:val="17"/>
              </w:rPr>
              <w:t xml:space="preserve">—</w:t>
            </w:r>
          </w:p>
        </w:tc>
        <w:tc>
          <w:tcPr>
            <w:tcW w:w="2340" w:type="dxa"/>
          </w:tcPr>
          <w:p>
            <w:pPr>
              <w:spacing w:after="40"/>
            </w:pPr>
            <w:r>
              <w:rPr>
                <w:rFonts w:ascii="Times New Roman" w:hAnsi="Times New Roman" w:cs="Times New Roman"/>
                <w:sz w:val="17"/>
                <w:szCs w:val="17"/>
              </w:rPr>
              <w:t xml:space="preserve">v0.1 from Rulebook §5</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full review</w:t>
            </w:r>
          </w:p>
        </w:tc>
        <w:tc>
          <w:tcPr>
            <w:tcW w:w="2340" w:type="dxa"/>
          </w:tcPr>
          <w:p>
            <w:pPr>
              <w:spacing w:after="40"/>
            </w:pPr>
            <w:r>
              <w:rPr>
                <w:rFonts w:ascii="Times New Roman" w:hAnsi="Times New Roman" w:cs="Times New Roman"/>
                <w:sz w:val="17"/>
                <w:szCs w:val="17"/>
              </w:rPr>
              <w:t xml:space="preserve">REVISE (no Blockers; 8 Majors; 21 findings)</w:t>
            </w:r>
          </w:p>
        </w:tc>
        <w:tc>
          <w:tcPr>
            <w:tcW w:w="2340" w:type="dxa"/>
          </w:tcPr>
          <w:p>
            <w:pPr>
              <w:spacing w:after="40"/>
            </w:pPr>
            <w:r>
              <w:rPr>
                <w:rFonts w:ascii="Times New Roman" w:hAnsi="Times New Roman" w:cs="Times New Roman"/>
                <w:sz w:val="17"/>
                <w:szCs w:val="17"/>
              </w:rPr>
              <w:t xml:space="preserve">v0.3: Part B rewritten — engineering brackets on billing facts; legacy subscribers (§1A); Google channel (§5.2); cancel-vs-withdraw prompt; no-request/no-cost and trial rules (§4.3); Annex I(B) model form; German and French functions; crypto fees on withdrawal; email-cancellation timing; trial deadline and cancel link; "money-back" wording removed</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w:t>
            </w:r>
          </w:p>
        </w:tc>
        <w:tc>
          <w:tcPr>
            <w:tcW w:w="2340" w:type="dxa"/>
          </w:tcPr>
          <w:p>
            <w:pPr>
              <w:spacing w:after="40"/>
            </w:pPr>
            <w:r>
              <w:rPr>
                <w:rFonts w:ascii="Times New Roman" w:hAnsi="Times New Roman" w:cs="Times New Roman"/>
                <w:sz w:val="17"/>
                <w:szCs w:val="17"/>
              </w:rPr>
              <w:t xml:space="preserve">REVISE (no Blockers; 6 Majors)</w:t>
            </w:r>
          </w:p>
        </w:tc>
        <w:tc>
          <w:tcPr>
            <w:tcW w:w="2340" w:type="dxa"/>
          </w:tcPr>
          <w:p>
            <w:pPr>
              <w:spacing w:after="40"/>
            </w:pPr>
            <w:r>
              <w:rPr>
                <w:rFonts w:ascii="Times New Roman" w:hAnsi="Times New Roman" w:cs="Times New Roman"/>
                <w:sz w:val="17"/>
                <w:szCs w:val="17"/>
              </w:rPr>
              <w:t xml:space="preserve">v0.2: withdrawal confirmation and acknowledgement; full-performance rule; APK billing path; renewal-refund condition tied to entitlement events only; Google 48-hour rule; trial confirmation; ODR; research EV-232</w:t>
            </w:r>
          </w:p>
        </w:tc>
      </w:tr>
      <w:tr>
        <w:trPr>
          <w:cantSplit/>
        </w:trPr>
        <w:tc>
          <w:tcPr>
            <w:tcW w:w="2340" w:type="dxa"/>
          </w:tcPr>
          <w:p>
            <w:pPr>
              <w:spacing w:after="40"/>
            </w:pPr>
            <w:r>
              <w:rPr>
                <w:rFonts w:ascii="Times New Roman" w:hAnsi="Times New Roman" w:cs="Times New Roman"/>
                <w:sz w:val="17"/>
                <w:szCs w:val="17"/>
              </w:rPr>
              <w:t xml:space="preserve">2026-09-25</w:t>
            </w:r>
          </w:p>
        </w:tc>
        <w:tc>
          <w:tcPr>
            <w:tcW w:w="2340" w:type="dxa"/>
          </w:tcPr>
          <w:p>
            <w:pPr>
              <w:spacing w:after="40"/>
            </w:pPr>
            <w:r>
              <w:rPr>
                <w:rFonts w:ascii="Times New Roman" w:hAnsi="Times New Roman" w:cs="Times New Roman"/>
                <w:sz w:val="17"/>
                <w:szCs w:val="17"/>
              </w:rPr>
              <w:t xml:space="preserve">hidzo-counsel-reviewer (AI) — cross-document final audit; research memos EV-232–235</w:t>
            </w:r>
          </w:p>
        </w:tc>
        <w:tc>
          <w:tcPr>
            <w:tcW w:w="2340" w:type="dxa"/>
          </w:tcPr>
          <w:p>
            <w:pPr>
              <w:spacing w:after="40"/>
            </w:pPr>
            <w:r>
              <w:rPr>
                <w:rFonts w:ascii="Times New Roman" w:hAnsi="Times New Roman" w:cs="Times New Roman"/>
                <w:sz w:val="17"/>
                <w:szCs w:val="17"/>
              </w:rPr>
              <w:t xml:space="preserve">REVISE (set: 1 Blocker, 8 Majors)</w:t>
            </w:r>
          </w:p>
        </w:tc>
        <w:tc>
          <w:tcPr>
            <w:tcW w:w="2340" w:type="dxa"/>
          </w:tcPr>
          <w:p>
            <w:pPr>
              <w:spacing w:after="40"/>
            </w:pPr>
            <w:r>
              <w:rPr>
                <w:rFonts w:ascii="Times New Roman" w:hAnsi="Times New Roman" w:cs="Times New Roman"/>
                <w:sz w:val="17"/>
                <w:szCs w:val="17"/>
              </w:rPr>
              <w:t xml:space="preserve">v0.4: cross-document redlines X-01–X-31 applied where they concern this document; authority labels updated from first-hand and research-memo checks (EV-238–264)</w:t>
            </w:r>
          </w:p>
        </w:tc>
      </w:tr>
    </w:tbl>
    <w:p>
      <w:pPr>
        <w:spacing w:after="60"/>
      </w:pPr>
    </w:p>
    <w:sectPr>
      <w:headerReference w:type="default" r:id="rIdHeader"/>
      <w:footerReference w:type="default" r:id="rIdFooter"/>
      <w:pgSz w:w="12240" w:h="15840"/>
      <w:pgMar w:top="1440" w:right="1440" w:bottom="1440" w:left="1440" w:header="708" w:footer="708" w:gutter="0"/>
    </w:sectPr>
  </w:body>
</w:document>
</file>

<file path=word/footer1.xml><?xml version="1.0" encoding="utf-8"?>
<w:ftr xmlns:w="http://schemas.openxmlformats.org/wordprocessingml/2006/main" xmlns:r="http://schemas.openxmlformats.org/officeDocument/2006/relationships">
  <w:p>
    <w:pPr>
      <w:spacing w:after="0"/>
      <w:jc w:val="center"/>
    </w:pPr>
    <w:r>
      <w:rPr>
        <w:rFonts w:ascii="Times New Roman" w:hAnsi="Times New Roman" w:cs="Times New Roman"/>
        <w:sz w:val="16"/>
        <w:szCs w:val="16"/>
      </w:rPr>
      <w:t xml:space="preserve">Page </w:t>
    </w:r>
    <w:r>
      <w:fldChar w:fldCharType="begin"/>
    </w:r>
    <w:r>
      <w:instrText xml:space="preserve"> PAGE </w:instrText>
    </w:r>
    <w:r>
      <w:fldChar w:fldCharType="separate"/>
    </w:r>
    <w:r>
      <w:rPr>
        <w:rFonts w:ascii="Times New Roman" w:hAnsi="Times New Roman" w:cs="Times New Roman"/>
        <w:sz w:val="16"/>
        <w:szCs w:val="16"/>
      </w:rPr>
      <w:t xml:space="preserve">1</w:t>
    </w:r>
    <w:r>
      <w:fldChar w:fldCharType="end"/>
    </w:r>
    <w:r>
      <w:rPr>
        <w:rFonts w:ascii="Times New Roman" w:hAnsi="Times New Roman" w:cs="Times New Roman"/>
        <w:sz w:val="16"/>
        <w:szCs w:val="16"/>
      </w:rPr>
      <w:t xml:space="preserve"> of </w:t>
    </w:r>
    <w:r>
      <w:fldChar w:fldCharType="begin"/>
    </w:r>
    <w:r>
      <w:instrText xml:space="preserve"> NUMPAGES </w:instrText>
    </w:r>
    <w:r>
      <w:fldChar w:fldCharType="separate"/>
    </w:r>
    <w:r>
      <w:rPr>
        <w:rFonts w:ascii="Times New Roman" w:hAnsi="Times New Roman" w:cs="Times New Roman"/>
        <w:sz w:val="16"/>
        <w:szCs w:val="16"/>
      </w:rPr>
      <w:t xml:space="preserve">1</w:t>
    </w:r>
    <w:r>
      <w:fldChar w:fldCharType="end"/>
    </w:r>
  </w:p>
  <w:p>
    <w:pPr>
      <w:spacing w:after="0"/>
      <w:jc w:val="center"/>
    </w:pPr>
    <w:r>
      <w:rPr>
        <w:rFonts w:ascii="Times New Roman" w:hAnsi="Times New Roman" w:cs="Times New Roman"/>
        <w:b/>
        <w:bCs/>
        <w:sz w:val="14"/>
        <w:szCs w:val="14"/>
      </w:rPr>
      <w:t xml:space="preserve">DRAFT — PREPARED FOR REVIEW BY LICENSED COUNSEL — NOT LEGAL ADVICE</w:t>
    </w:r>
  </w:p>
</w:ftr>
</file>

<file path=word/header1.xml><?xml version="1.0" encoding="utf-8"?>
<w:hdr xmlns:w="http://schemas.openxmlformats.org/wordprocessingml/2006/main" xmlns:r="http://schemas.openxmlformats.org/officeDocument/2006/relationships">
  <w:p>
    <w:pPr>
      <w:jc w:val="right"/>
    </w:pPr>
    <w:r>
      <w:rPr>
        <w:rFonts w:ascii="Times New Roman" w:hAnsi="Times New Roman" w:cs="Times New Roman"/>
        <w:sz w:val="16"/>
        <w:szCs w:val="16"/>
      </w:rPr>
      <w:t xml:space="preserve">POL-REF-001  ·  v0.4  ·  INTERNAL — LEGAL (Part B becomes PUBLIC on publication)</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0"/>
      <w:szCs w:val="30"/>
    </w:rPr>
  </w:style>
  <w:style w:type="paragraph" w:styleId="Heading2">
    <w:name w:val="heading 2"/>
    <w:basedOn w:val="Normal"/>
    <w:next w:val="Normal"/>
    <w:qFormat/>
    <w:pPr>
      <w:keepNext/>
      <w:spacing w:before="280" w:after="120"/>
      <w:outlineLvl w:val="1"/>
    </w:pPr>
    <w:rPr>
      <w:b/>
      <w:bCs/>
      <w:sz w:val="26"/>
      <w:szCs w:val="26"/>
    </w:rPr>
  </w:style>
  <w:style w:type="paragraph" w:styleId="Heading3">
    <w:name w:val="heading 3"/>
    <w:basedOn w:val="Normal"/>
    <w:next w:val="Normal"/>
    <w:qFormat/>
    <w:pPr>
      <w:keepNext/>
      <w:spacing w:before="200" w:after="120"/>
      <w:outlineLvl w:val="2"/>
    </w:pPr>
    <w:rPr>
      <w:b/>
      <w:bCs/>
      <w:sz w:val="24"/>
      <w:szCs w:val="24"/>
    </w:rPr>
  </w:style>
  <w:style w:type="paragraph" w:styleId="Heading4">
    <w:name w:val="heading 4"/>
    <w:basedOn w:val="Normal"/>
    <w:next w:val="Normal"/>
    <w:qFormat/>
    <w:pPr>
      <w:keepNext/>
      <w:spacing w:before="160" w:after="120"/>
      <w:outlineLvl w:val="3"/>
    </w:pPr>
    <w:rPr>
      <w:b/>
      <w:bCs/>
      <w:sz w:val="22"/>
      <w:szCs w:val="22"/>
    </w:rPr>
  </w:style>
  <w:style w:type="table" w:styleId="TableGrid">
    <w:name w:val="Table Grid"/>
    <w:tblPr>
      <w:tblBorders>
        <w:top w:val="single" w:sz="4" w:space="0" w:color="auto"/>
        <w:bottom w:val="single" w:sz="4" w:space="0" w:color="auto"/>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Refund and Cancellation Policy — draft with drafting notes</dc:title>
  <dc:creator>HidzoVPN Legal KB</dc:creator>
  <dc:identifier>POL-REF-001</dc:identifier>
  <dcterms:created xsi:type="dcterms:W3CDTF">2026-09-28T09:52:26Z</dcterms:created>
</cp:coreProperties>
</file>