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Law Enforcement Guidelines (public)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POL-LE-001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0.3</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 (18 U.S.C. §§2510(15), 2702, 2703, 2705, 2706, 2711, 2713 read on uscode.house.gov by AI reviewer — Reported; Fla. Stat. §92.605(3) partly; EU e-Evidence Level D)</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Legal Lead (named person TBD) with CTO</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 The internal response procedure and request log belong in restricted folder 12. Every actual request goes to counsel before any response (KB-002 A7). </w:t>
      </w:r>
      <w:r>
        <w:rPr>
          <w:rFonts w:ascii="Times New Roman" w:hAnsi="Times New Roman" w:cs="Times New Roman"/>
          <w:b/>
          <w:bCs/>
          <w:i/>
        </w:rPr>
        <w:t xml:space="preserve">The table in §3 must match the Privacy Policy (POL-PRIV-002 §§3, 11) row for row and the engineering logging attestation (EV-201–205). Until both exist, every row is bracketed.</w:t>
      </w:r>
    </w:p>
    <w:p>
      <w:pPr>
        <w:pStyle w:val="Heading2"/>
        <w:keepNext/>
      </w:pPr>
      <w:r>
        <w:rPr>
          <w:rFonts w:ascii="Times New Roman" w:hAnsi="Times New Roman" w:cs="Times New Roman"/>
        </w:rPr>
        <w:t xml:space="preserve">Part A — Drafting brief (internal)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How should courts, authorities and private litigants send requests to HidzoVPN, what process is required, and what records does HidzoVPN keep in the ordinary course of business?</w:t>
            </w:r>
          </w:p>
        </w:tc>
      </w:tr>
      <w:tr>
        <w:trPr>
          <w:cantSplit/>
        </w:trPr>
        <w:tc>
          <w:tcPr>
            <w:tcW w:w="4680" w:type="dxa"/>
          </w:tcPr>
          <w:p>
            <w:pPr>
              <w:spacing w:after="40"/>
            </w:pPr>
            <w:r>
              <w:rPr>
                <w:rFonts w:ascii="Times New Roman" w:hAnsi="Times New Roman" w:cs="Times New Roman"/>
                <w:sz w:val="17"/>
                <w:szCs w:val="17"/>
              </w:rPr>
              <w:t xml:space="preserve">Key constraints</w:t>
            </w:r>
          </w:p>
        </w:tc>
        <w:tc>
          <w:tcPr>
            <w:tcW w:w="4680" w:type="dxa"/>
          </w:tcPr>
          <w:p>
            <w:pPr>
              <w:spacing w:after="40"/>
            </w:pPr>
            <w:r>
              <w:rPr>
                <w:rFonts w:ascii="Times New Roman" w:hAnsi="Times New Roman" w:cs="Times New Roman"/>
                <w:sz w:val="17"/>
                <w:szCs w:val="17"/>
              </w:rPr>
              <w:t xml:space="preserve">(1) Consistency with the Privacy Policy; (2) no logging claim without A-INT evidence (CLAIMS_REGISTER); (3) no absolute promises (emergency and mandatory-reporting exceptions exist); (4) staff and founder safety (RSK-031, RSK-036)</w:t>
            </w:r>
          </w:p>
        </w:tc>
      </w:tr>
      <w:tr>
        <w:trPr>
          <w:cantSplit/>
        </w:trPr>
        <w:tc>
          <w:tcPr>
            <w:tcW w:w="4680" w:type="dxa"/>
          </w:tcPr>
          <w:p>
            <w:pPr>
              <w:spacing w:after="40"/>
            </w:pPr>
            <w:r>
              <w:rPr>
                <w:rFonts w:ascii="Times New Roman" w:hAnsi="Times New Roman" w:cs="Times New Roman"/>
                <w:sz w:val="17"/>
                <w:szCs w:val="17"/>
              </w:rPr>
              <w:t xml:space="preserve">Legal drivers</w:t>
            </w:r>
          </w:p>
        </w:tc>
        <w:tc>
          <w:tcPr>
            <w:tcW w:w="4680" w:type="dxa"/>
          </w:tcPr>
          <w:p>
            <w:pPr>
              <w:spacing w:after="40"/>
            </w:pPr>
            <w:r>
              <w:rPr>
                <w:rFonts w:ascii="Times New Roman" w:hAnsi="Times New Roman" w:cs="Times New Roman"/>
                <w:sz w:val="17"/>
                <w:szCs w:val="17"/>
              </w:rPr>
              <w:t xml:space="preserve">Stored Communications Act, 18 U.S.C. §§2702, 2703, 2705, 2706, 2711, 2713 (Reported, EV-237); Fla. Stat. §92.605(3) (partly verified); EU e-Evidence Regulation (EU) 2023/1543 and Directive (EU) 2023/1544 (Level D)</w:t>
            </w:r>
          </w:p>
        </w:tc>
      </w:tr>
    </w:tbl>
    <w:p>
      <w:pPr>
        <w:spacing w:after="60"/>
      </w:pP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Law Enforcement Guidelines</w:t>
      </w:r>
    </w:p>
    <w:p>
      <w:pPr>
        <w:jc w:val="both"/>
      </w:pPr>
      <w:r>
        <w:rPr>
          <w:rFonts w:ascii="Times New Roman" w:hAnsi="Times New Roman" w:cs="Times New Roman"/>
          <w:b/>
          <w:bCs/>
        </w:rPr>
        <w:t xml:space="preserve">Version:</w:t>
      </w:r>
      <w:r>
        <w:rPr>
          <w:rFonts w:ascii="Times New Roman" w:hAnsi="Times New Roman" w:cs="Times New Roman"/>
        </w:rPr>
        <w:t xml:space="preserve"> 1.0 </w:t>
      </w:r>
      <w:r>
        <w:rPr>
          <w:rFonts w:ascii="Consolas" w:hAnsi="Consolas" w:cs="Times New Roman"/>
        </w:rPr>
        <w:t xml:space="preserve">[OPEN]</w:t>
      </w:r>
      <w:r>
        <w:rPr>
          <w:rFonts w:ascii="Times New Roman" w:hAnsi="Times New Roman" w:cs="Times New Roman"/>
        </w:rPr>
        <w:t xml:space="preserve"> · </w:t>
      </w:r>
      <w:r>
        <w:rPr>
          <w:rFonts w:ascii="Times New Roman" w:hAnsi="Times New Roman" w:cs="Times New Roman"/>
          <w:b/>
          <w:bCs/>
        </w:rPr>
        <w:t xml:space="preserve">Effective:</w:t>
      </w:r>
      <w:r>
        <w:rPr>
          <w:rFonts w:ascii="Times New Roman" w:hAnsi="Times New Roman" w:cs="Times New Roman"/>
        </w:rPr>
        <w:t xml:space="preserve"> </w:t>
      </w:r>
      <w:r>
        <w:rPr>
          <w:rFonts w:ascii="Consolas" w:hAnsi="Consolas" w:cs="Times New Roman"/>
        </w:rPr>
        <w:t xml:space="preserve">[OPEN: date]</w:t>
      </w:r>
    </w:p>
    <w:p>
      <w:pPr>
        <w:jc w:val="both"/>
      </w:pPr>
      <w:r>
        <w:rPr>
          <w:rFonts w:ascii="Times New Roman" w:hAnsi="Times New Roman" w:cs="Times New Roman"/>
        </w:rPr>
        <w:t xml:space="preserve">These guidelines are for courts, government agencies, law-enforcement authorities and parties to legal proceedings who want to request information from HidzoVPN, Inc., a Florida corporation. They are not legal advice and do not create rights for any person. Users can read our Privacy Policy for how we handle their information.</w:t>
      </w:r>
    </w:p>
    <w:p>
      <w:pPr>
        <w:pStyle w:val="Heading2"/>
        <w:keepNext/>
      </w:pPr>
      <w:r>
        <w:rPr>
          <w:rFonts w:ascii="Times New Roman" w:hAnsi="Times New Roman" w:cs="Times New Roman"/>
        </w:rPr>
        <w:t xml:space="preserve">1. How to send a request</w:t>
      </w:r>
    </w:p>
    <w:p>
      <w:pPr>
        <w:jc w:val="both"/>
      </w:pPr>
      <w:r>
        <w:rPr>
          <w:rFonts w:ascii="Times New Roman" w:hAnsi="Times New Roman" w:cs="Times New Roman"/>
        </w:rPr>
        <w:t xml:space="preserve">Send requests by email to </w:t>
      </w:r>
      <w:r>
        <w:rPr>
          <w:rFonts w:ascii="Consolas" w:hAnsi="Consolas" w:cs="Times New Roman"/>
        </w:rPr>
        <w:t xml:space="preserve">[OPEN: legalrequests@hidzovpn.com]</w:t>
      </w:r>
      <w:r>
        <w:rPr>
          <w:rFonts w:ascii="Times New Roman" w:hAnsi="Times New Roman" w:cs="Times New Roman"/>
        </w:rPr>
        <w:t xml:space="preserve">. Formal service of legal process on HidzoVPN, Inc. in Florida may be made on our registered agent, Northwest Registered Agent LLC, 7901 4th Street North, Suite 300, Saint Petersburg, FL 33702, United States </w:t>
      </w:r>
      <w:r>
        <w:rPr>
          <w:rFonts w:ascii="Consolas" w:hAnsi="Consolas" w:cs="Times New Roman"/>
        </w:rPr>
        <w:t xml:space="preserve">[COUNSEL: after Northwest confirms its appointment — RSK-050]</w:t>
      </w:r>
      <w:r>
        <w:rPr>
          <w:rFonts w:ascii="Times New Roman" w:hAnsi="Times New Roman" w:cs="Times New Roman"/>
        </w:rPr>
        <w:t xml:space="preserve">. Requests must be addressed to HidzoVPN, Inc.; we do not process requests sent to individual employees, officers or contractors. Requests sent to customer support or through social media are not handled as legal requests and will be delayed.</w:t>
      </w:r>
    </w:p>
    <w:p>
      <w:pPr>
        <w:jc w:val="both"/>
      </w:pPr>
      <w:r>
        <w:rPr>
          <w:rFonts w:ascii="Times New Roman" w:hAnsi="Times New Roman" w:cs="Times New Roman"/>
        </w:rPr>
        <w:t xml:space="preserve">Each request must state: the requesting authority or party and the person making the request, with official contact details; the legal basis for the request; the account email, installation identifier or other identifier concerned; the information sought; the relevant time period; and any deadline.</w:t>
      </w:r>
    </w:p>
    <w:p>
      <w:pPr>
        <w:jc w:val="both"/>
      </w:pPr>
      <w:r>
        <w:rPr>
          <w:rFonts w:ascii="Times New Roman" w:hAnsi="Times New Roman" w:cs="Times New Roman"/>
        </w:rPr>
        <w:t xml:space="preserve">We verify every request, including by contacting the requesting agency through its publicly listed contact details, and may refuse a request we cannot verify.</w:t>
      </w:r>
    </w:p>
    <w:p>
      <w:pPr>
        <w:pStyle w:val="Heading2"/>
        <w:keepNext/>
      </w:pPr>
      <w:r>
        <w:rPr>
          <w:rFonts w:ascii="Times New Roman" w:hAnsi="Times New Roman" w:cs="Times New Roman"/>
        </w:rPr>
        <w:t xml:space="preserve">2. Legal process we require</w:t>
      </w:r>
    </w:p>
    <w:p>
      <w:pPr>
        <w:jc w:val="both"/>
      </w:pPr>
      <w:r>
        <w:rPr>
          <w:rFonts w:ascii="Times New Roman" w:hAnsi="Times New Roman" w:cs="Times New Roman"/>
        </w:rPr>
        <w:t xml:space="preserve">2.1 </w:t>
      </w:r>
      <w:r>
        <w:rPr>
          <w:rFonts w:ascii="Times New Roman" w:hAnsi="Times New Roman" w:cs="Times New Roman"/>
          <w:b/>
          <w:bCs/>
        </w:rPr>
        <w:t xml:space="preserve">United States authorities.</w:t>
      </w:r>
      <w:r>
        <w:rPr>
          <w:rFonts w:ascii="Times New Roman" w:hAnsi="Times New Roman" w:cs="Times New Roman"/>
        </w:rPr>
        <w:t xml:space="preserve"> Except in the emergencies described in Section 5, or where the law requires us to report, we disclose user information to U.S. authorities only in response to valid legal process </w:t>
      </w:r>
      <w:r>
        <w:rPr>
          <w:rFonts w:ascii="Consolas" w:hAnsi="Consolas" w:cs="Times New Roman"/>
        </w:rPr>
        <w:t xml:space="preserve">[COUNSEL: HidzoVPN's status as a provider of electronic communication service to the public]</w:t>
      </w:r>
      <w:r>
        <w:rPr>
          <w:rFonts w:ascii="Times New Roman" w:hAnsi="Times New Roman" w:cs="Times New Roman"/>
        </w:rPr>
        <w:t xml:space="preserve">:</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Information</w:t>
            </w:r>
          </w:p>
        </w:tc>
        <w:tc>
          <w:tcPr>
            <w:tcW w:w="4680" w:type="dxa"/>
            <w:shd w:val="clear" w:color="auto" w:fill="D9D9D9"/>
          </w:tcPr>
          <w:p>
            <w:pPr>
              <w:spacing w:after="40"/>
            </w:pPr>
            <w:r>
              <w:rPr>
                <w:rFonts w:ascii="Times New Roman" w:hAnsi="Times New Roman" w:cs="Times New Roman"/>
                <w:b/>
                <w:bCs/>
                <w:sz w:val="17"/>
                <w:szCs w:val="17"/>
              </w:rPr>
              <w:t xml:space="preserve">Process generally required</w:t>
            </w:r>
          </w:p>
        </w:tc>
      </w:tr>
      <w:tr>
        <w:trPr>
          <w:cantSplit/>
        </w:trPr>
        <w:tc>
          <w:tcPr>
            <w:tcW w:w="4680" w:type="dxa"/>
          </w:tcPr>
          <w:p>
            <w:pPr>
              <w:spacing w:after="40"/>
            </w:pPr>
            <w:r>
              <w:rPr>
                <w:rFonts w:ascii="Times New Roman" w:hAnsi="Times New Roman" w:cs="Times New Roman"/>
                <w:sz w:val="17"/>
                <w:szCs w:val="17"/>
              </w:rPr>
              <w:t xml:space="preserve">Basic subscriber records listed in 18 U.S.C. §2703(c)(2) (e.g. name, address, session times and durations, temporarily assigned network address, means of payment)</w:t>
            </w:r>
          </w:p>
        </w:tc>
        <w:tc>
          <w:tcPr>
            <w:tcW w:w="4680" w:type="dxa"/>
          </w:tcPr>
          <w:p>
            <w:pPr>
              <w:spacing w:after="40"/>
            </w:pPr>
            <w:r>
              <w:rPr>
                <w:rFonts w:ascii="Times New Roman" w:hAnsi="Times New Roman" w:cs="Times New Roman"/>
                <w:sz w:val="17"/>
                <w:szCs w:val="17"/>
              </w:rPr>
              <w:t xml:space="preserve">Subpoena</w:t>
            </w:r>
          </w:p>
        </w:tc>
      </w:tr>
      <w:tr>
        <w:trPr>
          <w:cantSplit/>
        </w:trPr>
        <w:tc>
          <w:tcPr>
            <w:tcW w:w="4680" w:type="dxa"/>
          </w:tcPr>
          <w:p>
            <w:pPr>
              <w:spacing w:after="40"/>
            </w:pPr>
            <w:r>
              <w:rPr>
                <w:rFonts w:ascii="Times New Roman" w:hAnsi="Times New Roman" w:cs="Times New Roman"/>
                <w:sz w:val="17"/>
                <w:szCs w:val="17"/>
              </w:rPr>
              <w:t xml:space="preserve">Other non-content records</w:t>
            </w:r>
          </w:p>
        </w:tc>
        <w:tc>
          <w:tcPr>
            <w:tcW w:w="4680" w:type="dxa"/>
          </w:tcPr>
          <w:p>
            <w:pPr>
              <w:spacing w:after="40"/>
            </w:pPr>
            <w:r>
              <w:rPr>
                <w:rFonts w:ascii="Times New Roman" w:hAnsi="Times New Roman" w:cs="Times New Roman"/>
                <w:sz w:val="17"/>
                <w:szCs w:val="17"/>
              </w:rPr>
              <w:t xml:space="preserve">Court order under 18 U.S.C. §2703(d), or a search warrant</w:t>
            </w:r>
          </w:p>
        </w:tc>
      </w:tr>
      <w:tr>
        <w:trPr>
          <w:cantSplit/>
        </w:trPr>
        <w:tc>
          <w:tcPr>
            <w:tcW w:w="4680" w:type="dxa"/>
          </w:tcPr>
          <w:p>
            <w:pPr>
              <w:spacing w:after="40"/>
            </w:pPr>
            <w:r>
              <w:rPr>
                <w:rFonts w:ascii="Times New Roman" w:hAnsi="Times New Roman" w:cs="Times New Roman"/>
                <w:sz w:val="17"/>
                <w:szCs w:val="17"/>
              </w:rPr>
              <w:t xml:space="preserve">Content of communications</w:t>
            </w:r>
          </w:p>
        </w:tc>
        <w:tc>
          <w:tcPr>
            <w:tcW w:w="4680" w:type="dxa"/>
          </w:tcPr>
          <w:p>
            <w:pPr>
              <w:spacing w:after="40"/>
            </w:pPr>
            <w:r>
              <w:rPr>
                <w:rFonts w:ascii="Times New Roman" w:hAnsi="Times New Roman" w:cs="Times New Roman"/>
                <w:sz w:val="17"/>
                <w:szCs w:val="17"/>
              </w:rPr>
              <w:t xml:space="preserve">Search warrant (our policy; the statute also allows other process in some cases — 18 U.S.C. §2703(b)) </w:t>
            </w:r>
            <w:r>
              <w:rPr>
                <w:rFonts w:ascii="Consolas" w:hAnsi="Consolas" w:cs="Times New Roman"/>
                <w:sz w:val="17"/>
                <w:szCs w:val="17"/>
              </w:rPr>
              <w:t xml:space="preserve">[COUNSEL]</w:t>
            </w:r>
          </w:p>
        </w:tc>
      </w:tr>
    </w:tbl>
    <w:p>
      <w:pPr>
        <w:spacing w:after="60"/>
      </w:pPr>
    </w:p>
    <w:p>
      <w:pPr>
        <w:jc w:val="both"/>
      </w:pPr>
      <w:r>
        <w:rPr>
          <w:rFonts w:ascii="Times New Roman" w:hAnsi="Times New Roman" w:cs="Times New Roman"/>
        </w:rPr>
        <w:t xml:space="preserve">As a Florida business, we produce records in response to a subpoena, court order or warrant issued by another U.S. state as if a Florida court had issued it, as Florida law requires (Fla. Stat. §92.605(3)) </w:t>
      </w:r>
      <w:r>
        <w:rPr>
          <w:rFonts w:ascii="Consolas" w:hAnsi="Consolas" w:cs="Times New Roman"/>
        </w:rPr>
        <w:t xml:space="preserve">[COUNSEL: whether HidzoVPN provides electronic communication service to the public]</w:t>
      </w:r>
      <w:r>
        <w:rPr>
          <w:rFonts w:ascii="Times New Roman" w:hAnsi="Times New Roman" w:cs="Times New Roman"/>
        </w:rPr>
        <w:t xml:space="preserve">.</w:t>
      </w:r>
    </w:p>
    <w:p>
      <w:pPr>
        <w:jc w:val="both"/>
      </w:pPr>
      <w:r>
        <w:rPr>
          <w:rFonts w:ascii="Times New Roman" w:hAnsi="Times New Roman" w:cs="Times New Roman"/>
        </w:rPr>
        <w:t xml:space="preserve">2.2 </w:t>
      </w:r>
      <w:r>
        <w:rPr>
          <w:rFonts w:ascii="Times New Roman" w:hAnsi="Times New Roman" w:cs="Times New Roman"/>
          <w:b/>
          <w:bCs/>
        </w:rPr>
        <w:t xml:space="preserve">Authorities outside the United States.</w:t>
      </w:r>
      <w:r>
        <w:rPr>
          <w:rFonts w:ascii="Times New Roman" w:hAnsi="Times New Roman" w:cs="Times New Roman"/>
        </w:rPr>
        <w:t xml:space="preserve"> As a matter of company policy, we respond to authorities outside the United States only through a mutual legal assistance request or another procedure that U.S. law recognizes </w:t>
      </w:r>
      <w:r>
        <w:rPr>
          <w:rFonts w:ascii="Consolas" w:hAnsi="Consolas" w:cs="Times New Roman"/>
        </w:rPr>
        <w:t xml:space="preserve">[COUNSEL: CLOUD Act executive agreements; EU European Production Orders under Regulation (EU) 2023/1543 — whether HidzoVPN is a covered provider (EV-237, Level D)]</w:t>
      </w:r>
      <w:r>
        <w:rPr>
          <w:rFonts w:ascii="Times New Roman" w:hAnsi="Times New Roman" w:cs="Times New Roman"/>
        </w:rPr>
        <w:t xml:space="preserve">.</w:t>
      </w:r>
    </w:p>
    <w:p>
      <w:pPr>
        <w:jc w:val="both"/>
      </w:pPr>
      <w:r>
        <w:rPr>
          <w:rFonts w:ascii="Times New Roman" w:hAnsi="Times New Roman" w:cs="Times New Roman"/>
        </w:rPr>
        <w:t xml:space="preserve">2.3 </w:t>
      </w:r>
      <w:r>
        <w:rPr>
          <w:rFonts w:ascii="Times New Roman" w:hAnsi="Times New Roman" w:cs="Times New Roman"/>
          <w:b/>
          <w:bCs/>
        </w:rPr>
        <w:t xml:space="preserve">Civil and private requests.</w:t>
      </w:r>
      <w:r>
        <w:rPr>
          <w:rFonts w:ascii="Times New Roman" w:hAnsi="Times New Roman" w:cs="Times New Roman"/>
        </w:rPr>
        <w:t xml:space="preserve"> We do not disclose the content of communications to private parties. We disclose other user information to private parties only in response to a subpoena or court order that is valid under applicable law, after notifying the user where we can and allowing </w:t>
      </w:r>
      <w:r>
        <w:rPr>
          <w:rFonts w:ascii="Consolas" w:hAnsi="Consolas" w:cs="Times New Roman"/>
        </w:rPr>
        <w:t xml:space="preserve">[OPEN]</w:t>
      </w:r>
      <w:r>
        <w:rPr>
          <w:rFonts w:ascii="Times New Roman" w:hAnsi="Times New Roman" w:cs="Times New Roman"/>
        </w:rPr>
        <w:t xml:space="preserve"> days to object </w:t>
      </w:r>
      <w:r>
        <w:rPr>
          <w:rFonts w:ascii="Consolas" w:hAnsi="Consolas" w:cs="Times New Roman"/>
        </w:rPr>
        <w:t xml:space="preserve">[COUNSEL: including subpoenas under 17 U.S.C. §512(h)]</w:t>
      </w:r>
      <w:r>
        <w:rPr>
          <w:rFonts w:ascii="Times New Roman" w:hAnsi="Times New Roman" w:cs="Times New Roman"/>
        </w:rPr>
        <w:t xml:space="preserve">.</w:t>
      </w:r>
    </w:p>
    <w:p>
      <w:pPr>
        <w:jc w:val="both"/>
      </w:pPr>
      <w:r>
        <w:rPr>
          <w:rFonts w:ascii="Times New Roman" w:hAnsi="Times New Roman" w:cs="Times New Roman"/>
        </w:rPr>
        <w:t xml:space="preserve">2.4 We review every request for its legal validity and scope. We may reject, narrow or challenge a request that is invalid, overbroad or lacks jurisdiction.</w:t>
      </w:r>
    </w:p>
    <w:p>
      <w:pPr>
        <w:pStyle w:val="Heading2"/>
        <w:keepNext/>
      </w:pPr>
      <w:r>
        <w:rPr>
          <w:rFonts w:ascii="Times New Roman" w:hAnsi="Times New Roman" w:cs="Times New Roman"/>
        </w:rPr>
        <w:t xml:space="preserve">3. Records we keep in the ordinary course of business</w:t>
      </w:r>
    </w:p>
    <w:p>
      <w:pPr>
        <w:jc w:val="both"/>
      </w:pPr>
      <w:r>
        <w:rPr>
          <w:rFonts w:ascii="Times New Roman" w:hAnsi="Times New Roman" w:cs="Times New Roman"/>
        </w:rPr>
        <w:t xml:space="preserve">We can only provide records that exist when we receive a valid request. The table below describes the records we keep in the ordinary course of business as of </w:t>
      </w:r>
      <w:r>
        <w:rPr>
          <w:rFonts w:ascii="Consolas" w:hAnsi="Consolas" w:cs="Times New Roman"/>
        </w:rPr>
        <w:t xml:space="preserve">[OPEN: date]</w:t>
      </w:r>
      <w:r>
        <w:rPr>
          <w:rFonts w:ascii="Times New Roman" w:hAnsi="Times New Roman" w:cs="Times New Roman"/>
        </w:rPr>
        <w:t xml:space="preserve">, and how long we keep them (see Section 11 of our Privacy Policy). </w:t>
      </w:r>
      <w:r>
        <w:rPr>
          <w:rFonts w:ascii="Consolas" w:hAnsi="Consolas" w:cs="Times New Roman"/>
        </w:rPr>
        <w:t xml:space="preserve">[ENGINEERING and COUNSEL: every row must match the logging attestation (EV-201–205) and the Privacy Policy exactly]</w:t>
      </w:r>
      <w:r>
        <w:rPr>
          <w:rFonts w:ascii="Times New Roman" w:hAnsi="Times New Roman" w:cs="Times New Roman"/>
        </w:rPr>
        <w:t xml:space="preserve"> </w:t>
      </w:r>
      <w:r>
        <w:rPr>
          <w:rFonts w:ascii="Consolas" w:hAnsi="Consolas" w:cs="Times New Roman"/>
        </w:rPr>
        <w:t xml:space="preserve">[COUNSEL: wording on orders that require future collection]</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Category</w:t>
            </w:r>
          </w:p>
        </w:tc>
        <w:tc>
          <w:tcPr>
            <w:tcW w:w="3120" w:type="dxa"/>
            <w:shd w:val="clear" w:color="auto" w:fill="D9D9D9"/>
          </w:tcPr>
          <w:p>
            <w:pPr>
              <w:spacing w:after="40"/>
            </w:pPr>
            <w:r>
              <w:rPr>
                <w:rFonts w:ascii="Times New Roman" w:hAnsi="Times New Roman" w:cs="Times New Roman"/>
                <w:b/>
                <w:bCs/>
                <w:sz w:val="17"/>
                <w:szCs w:val="17"/>
              </w:rPr>
              <w:t xml:space="preserve">Do we keep it in the ordinary course of business?</w:t>
            </w:r>
          </w:p>
        </w:tc>
        <w:tc>
          <w:tcPr>
            <w:tcW w:w="3120" w:type="dxa"/>
            <w:shd w:val="clear" w:color="auto" w:fill="D9D9D9"/>
          </w:tcPr>
          <w:p>
            <w:pPr>
              <w:spacing w:after="40"/>
            </w:pPr>
            <w:r>
              <w:rPr>
                <w:rFonts w:ascii="Times New Roman" w:hAnsi="Times New Roman" w:cs="Times New Roman"/>
                <w:b/>
                <w:bCs/>
                <w:sz w:val="17"/>
                <w:szCs w:val="17"/>
              </w:rPr>
              <w:t xml:space="preserve">How long</w:t>
            </w:r>
          </w:p>
        </w:tc>
      </w:tr>
      <w:tr>
        <w:trPr>
          <w:cantSplit/>
        </w:trPr>
        <w:tc>
          <w:tcPr>
            <w:tcW w:w="3120" w:type="dxa"/>
          </w:tcPr>
          <w:p>
            <w:pPr>
              <w:spacing w:after="40"/>
            </w:pPr>
            <w:r>
              <w:rPr>
                <w:rFonts w:ascii="Times New Roman" w:hAnsi="Times New Roman" w:cs="Times New Roman"/>
                <w:sz w:val="17"/>
                <w:szCs w:val="17"/>
              </w:rPr>
              <w:t xml:space="preserve">Content of a user's internet traffic</w:t>
            </w:r>
          </w:p>
        </w:tc>
        <w:tc>
          <w:tcPr>
            <w:tcW w:w="3120" w:type="dxa"/>
          </w:tcPr>
          <w:p>
            <w:pPr>
              <w:spacing w:after="40"/>
            </w:pPr>
            <w:r>
              <w:rPr>
                <w:rFonts w:ascii="Consolas" w:hAnsi="Consolas" w:cs="Times New Roman"/>
                <w:sz w:val="17"/>
                <w:szCs w:val="17"/>
              </w:rPr>
              <w:t xml:space="preserve">[ENGINEERING: No — attestation EV-201; claims register approval]</w:t>
            </w:r>
          </w:p>
        </w:tc>
        <w:tc>
          <w:tcPr>
            <w:tcW w:w="3120" w:type="dxa"/>
          </w:tcPr>
          <w:p>
            <w:pPr>
              <w:spacing w:after="40"/>
            </w:pPr>
            <w:r>
              <w:rPr>
                <w:rFonts w:ascii="Times New Roman" w:hAnsi="Times New Roman" w:cs="Times New Roman"/>
                <w:sz w:val="17"/>
                <w:szCs w:val="17"/>
              </w:rPr>
              <w:t xml:space="preserve">—</w:t>
            </w:r>
          </w:p>
        </w:tc>
      </w:tr>
      <w:tr>
        <w:trPr>
          <w:cantSplit/>
        </w:trPr>
        <w:tc>
          <w:tcPr>
            <w:tcW w:w="3120" w:type="dxa"/>
          </w:tcPr>
          <w:p>
            <w:pPr>
              <w:spacing w:after="40"/>
            </w:pPr>
            <w:r>
              <w:rPr>
                <w:rFonts w:ascii="Times New Roman" w:hAnsi="Times New Roman" w:cs="Times New Roman"/>
                <w:sz w:val="17"/>
                <w:szCs w:val="17"/>
              </w:rPr>
              <w:t xml:space="preserve">Websites or destinations visited, and DNS queries, through the VPN</w:t>
            </w:r>
          </w:p>
        </w:tc>
        <w:tc>
          <w:tcPr>
            <w:tcW w:w="3120" w:type="dxa"/>
          </w:tcPr>
          <w:p>
            <w:pPr>
              <w:spacing w:after="40"/>
            </w:pPr>
            <w:r>
              <w:rPr>
                <w:rFonts w:ascii="Consolas" w:hAnsi="Consolas" w:cs="Times New Roman"/>
                <w:sz w:val="17"/>
                <w:szCs w:val="17"/>
              </w:rPr>
              <w:t xml:space="preserve">[ENGINEERING: No — EV-201, EV-202]</w:t>
            </w:r>
          </w:p>
        </w:tc>
        <w:tc>
          <w:tcPr>
            <w:tcW w:w="3120" w:type="dxa"/>
          </w:tcPr>
          <w:p>
            <w:pPr>
              <w:spacing w:after="40"/>
            </w:pPr>
            <w:r>
              <w:rPr>
                <w:rFonts w:ascii="Times New Roman" w:hAnsi="Times New Roman" w:cs="Times New Roman"/>
                <w:sz w:val="17"/>
                <w:szCs w:val="17"/>
              </w:rPr>
              <w:t xml:space="preserve">—</w:t>
            </w:r>
          </w:p>
        </w:tc>
      </w:tr>
      <w:tr>
        <w:trPr>
          <w:cantSplit/>
        </w:trPr>
        <w:tc>
          <w:tcPr>
            <w:tcW w:w="3120" w:type="dxa"/>
          </w:tcPr>
          <w:p>
            <w:pPr>
              <w:spacing w:after="40"/>
            </w:pPr>
            <w:r>
              <w:rPr>
                <w:rFonts w:ascii="Times New Roman" w:hAnsi="Times New Roman" w:cs="Times New Roman"/>
                <w:sz w:val="17"/>
                <w:szCs w:val="17"/>
              </w:rPr>
              <w:t xml:space="preserve">IP address from which a user connects to a VPN server; server, tunnel address, start and end times, data volume (live session information)</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15 minutes]</w:t>
            </w:r>
            <w:r>
              <w:rPr>
                <w:rFonts w:ascii="Times New Roman" w:hAnsi="Times New Roman" w:cs="Times New Roman"/>
                <w:sz w:val="17"/>
                <w:szCs w:val="17"/>
              </w:rPr>
              <w:t xml:space="preserve"> after the connection ends</w:t>
            </w:r>
          </w:p>
        </w:tc>
      </w:tr>
      <w:tr>
        <w:trPr>
          <w:cantSplit/>
        </w:trPr>
        <w:tc>
          <w:tcPr>
            <w:tcW w:w="3120" w:type="dxa"/>
          </w:tcPr>
          <w:p>
            <w:pPr>
              <w:spacing w:after="40"/>
            </w:pPr>
            <w:r>
              <w:rPr>
                <w:rFonts w:ascii="Times New Roman" w:hAnsi="Times New Roman" w:cs="Times New Roman"/>
                <w:sz w:val="17"/>
                <w:szCs w:val="17"/>
              </w:rPr>
              <w:t xml:space="preserve">Usage statistics linked to an account or device</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Consolas" w:hAnsi="Consolas" w:cs="Times New Roman"/>
                <w:sz w:val="17"/>
                <w:szCs w:val="17"/>
              </w:rPr>
              <w:t xml:space="preserve">[ENGINEERING: 24 hours]</w:t>
            </w:r>
          </w:p>
        </w:tc>
      </w:tr>
      <w:tr>
        <w:trPr>
          <w:cantSplit/>
        </w:trPr>
        <w:tc>
          <w:tcPr>
            <w:tcW w:w="3120" w:type="dxa"/>
          </w:tcPr>
          <w:p>
            <w:pPr>
              <w:spacing w:after="40"/>
            </w:pPr>
            <w:r>
              <w:rPr>
                <w:rFonts w:ascii="Times New Roman" w:hAnsi="Times New Roman" w:cs="Times New Roman"/>
                <w:sz w:val="17"/>
                <w:szCs w:val="17"/>
              </w:rPr>
              <w:t xml:space="preserve">Sign-in sessions and tokens</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No longer than </w:t>
            </w:r>
            <w:r>
              <w:rPr>
                <w:rFonts w:ascii="Consolas" w:hAnsi="Consolas" w:cs="Times New Roman"/>
                <w:sz w:val="17"/>
                <w:szCs w:val="17"/>
              </w:rPr>
              <w:t xml:space="preserve">[ENGINEERING: 30 days]</w:t>
            </w:r>
          </w:p>
        </w:tc>
      </w:tr>
      <w:tr>
        <w:trPr>
          <w:cantSplit/>
        </w:trPr>
        <w:tc>
          <w:tcPr>
            <w:tcW w:w="3120" w:type="dxa"/>
          </w:tcPr>
          <w:p>
            <w:pPr>
              <w:spacing w:after="40"/>
            </w:pPr>
            <w:r>
              <w:rPr>
                <w:rFonts w:ascii="Times New Roman" w:hAnsi="Times New Roman" w:cs="Times New Roman"/>
                <w:sz w:val="17"/>
                <w:szCs w:val="17"/>
              </w:rPr>
              <w:t xml:space="preserve">Free Service limit state (installation identifier and timing)</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Consolas" w:hAnsi="Consolas" w:cs="Times New Roman"/>
                <w:sz w:val="17"/>
                <w:szCs w:val="17"/>
              </w:rPr>
              <w:t xml:space="preserve">[ENGINEERING]</w:t>
            </w:r>
          </w:p>
        </w:tc>
      </w:tr>
      <w:tr>
        <w:trPr>
          <w:cantSplit/>
        </w:trPr>
        <w:tc>
          <w:tcPr>
            <w:tcW w:w="3120" w:type="dxa"/>
          </w:tcPr>
          <w:p>
            <w:pPr>
              <w:spacing w:after="40"/>
            </w:pPr>
            <w:r>
              <w:rPr>
                <w:rFonts w:ascii="Times New Roman" w:hAnsi="Times New Roman" w:cs="Times New Roman"/>
                <w:sz w:val="17"/>
                <w:szCs w:val="17"/>
              </w:rPr>
              <w:t xml:space="preserve">Marketing preferences</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Until the user unsubscribes; a minimal suppression record is kept</w:t>
            </w:r>
          </w:p>
        </w:tc>
      </w:tr>
      <w:tr>
        <w:trPr>
          <w:cantSplit/>
        </w:trPr>
        <w:tc>
          <w:tcPr>
            <w:tcW w:w="3120" w:type="dxa"/>
          </w:tcPr>
          <w:p>
            <w:pPr>
              <w:spacing w:after="40"/>
            </w:pPr>
            <w:r>
              <w:rPr>
                <w:rFonts w:ascii="Times New Roman" w:hAnsi="Times New Roman" w:cs="Times New Roman"/>
                <w:sz w:val="17"/>
                <w:szCs w:val="17"/>
              </w:rPr>
              <w:t xml:space="preserve">IP address used to reach our apps, website and account systems (API, security and abuse records)</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30 days]</w:t>
            </w:r>
            <w:r>
              <w:rPr>
                <w:rFonts w:ascii="Times New Roman" w:hAnsi="Times New Roman" w:cs="Times New Roman"/>
                <w:sz w:val="17"/>
                <w:szCs w:val="17"/>
              </w:rPr>
              <w:t xml:space="preserve">; up to 24 months where needed for a specific incident, dispute or legal obligation</w:t>
            </w:r>
          </w:p>
        </w:tc>
      </w:tr>
      <w:tr>
        <w:trPr>
          <w:cantSplit/>
        </w:trPr>
        <w:tc>
          <w:tcPr>
            <w:tcW w:w="3120" w:type="dxa"/>
          </w:tcPr>
          <w:p>
            <w:pPr>
              <w:spacing w:after="40"/>
            </w:pPr>
            <w:r>
              <w:rPr>
                <w:rFonts w:ascii="Times New Roman" w:hAnsi="Times New Roman" w:cs="Times New Roman"/>
                <w:sz w:val="17"/>
                <w:szCs w:val="17"/>
              </w:rPr>
              <w:t xml:space="preserve">Account email, sign-in method, Apple or Google identifier, linked devices</w:t>
            </w:r>
          </w:p>
        </w:tc>
        <w:tc>
          <w:tcPr>
            <w:tcW w:w="3120" w:type="dxa"/>
          </w:tcPr>
          <w:p>
            <w:pPr>
              <w:spacing w:after="40"/>
            </w:pPr>
            <w:r>
              <w:rPr>
                <w:rFonts w:ascii="Times New Roman" w:hAnsi="Times New Roman" w:cs="Times New Roman"/>
                <w:sz w:val="17"/>
                <w:szCs w:val="17"/>
              </w:rPr>
              <w:t xml:space="preserve">Yes, for users with an account </w:t>
            </w: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While the account exists</w:t>
            </w:r>
          </w:p>
        </w:tc>
      </w:tr>
      <w:tr>
        <w:trPr>
          <w:cantSplit/>
        </w:trPr>
        <w:tc>
          <w:tcPr>
            <w:tcW w:w="3120" w:type="dxa"/>
          </w:tcPr>
          <w:p>
            <w:pPr>
              <w:spacing w:after="40"/>
            </w:pPr>
            <w:r>
              <w:rPr>
                <w:rFonts w:ascii="Times New Roman" w:hAnsi="Times New Roman" w:cs="Times New Roman"/>
                <w:sz w:val="17"/>
                <w:szCs w:val="17"/>
              </w:rPr>
              <w:t xml:space="preserve">Installation or device identifier, device model and operating system</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Consolas" w:hAnsi="Consolas" w:cs="Times New Roman"/>
                <w:sz w:val="17"/>
                <w:szCs w:val="17"/>
              </w:rPr>
              <w:t xml:space="preserve">[ENGINEERING]</w:t>
            </w:r>
          </w:p>
        </w:tc>
      </w:tr>
      <w:tr>
        <w:trPr>
          <w:cantSplit/>
        </w:trPr>
        <w:tc>
          <w:tcPr>
            <w:tcW w:w="3120" w:type="dxa"/>
          </w:tcPr>
          <w:p>
            <w:pPr>
              <w:spacing w:after="40"/>
            </w:pPr>
            <w:r>
              <w:rPr>
                <w:rFonts w:ascii="Times New Roman" w:hAnsi="Times New Roman" w:cs="Times New Roman"/>
                <w:sz w:val="17"/>
                <w:szCs w:val="17"/>
              </w:rPr>
              <w:t xml:space="preserve">Blocked device and payment identifiers (fraud and abuse)</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and COUNSEL: 24 months]</w:t>
            </w:r>
            <w:r>
              <w:rPr>
                <w:rFonts w:ascii="Times New Roman" w:hAnsi="Times New Roman" w:cs="Times New Roman"/>
                <w:sz w:val="17"/>
                <w:szCs w:val="17"/>
              </w:rPr>
              <w:t xml:space="preserve">, or longer only for a documented incident or legal claim</w:t>
            </w:r>
          </w:p>
        </w:tc>
      </w:tr>
      <w:tr>
        <w:trPr>
          <w:cantSplit/>
        </w:trPr>
        <w:tc>
          <w:tcPr>
            <w:tcW w:w="3120" w:type="dxa"/>
          </w:tcPr>
          <w:p>
            <w:pPr>
              <w:spacing w:after="40"/>
            </w:pPr>
            <w:r>
              <w:rPr>
                <w:rFonts w:ascii="Times New Roman" w:hAnsi="Times New Roman" w:cs="Times New Roman"/>
                <w:sz w:val="17"/>
                <w:szCs w:val="17"/>
              </w:rPr>
              <w:t xml:space="preserve">Subscription and payment records (plan, dates, amounts, payment token and last four digits of a card)</w:t>
            </w:r>
          </w:p>
        </w:tc>
        <w:tc>
          <w:tcPr>
            <w:tcW w:w="3120" w:type="dxa"/>
          </w:tcPr>
          <w:p>
            <w:pPr>
              <w:spacing w:after="40"/>
            </w:pPr>
            <w:r>
              <w:rPr>
                <w:rFonts w:ascii="Consolas" w:hAnsi="Consolas" w:cs="Times New Roman"/>
                <w:sz w:val="17"/>
                <w:szCs w:val="17"/>
              </w:rPr>
              <w:t xml:space="preserve">[ENGINEERING: Yes, for website purchases; limited records for Apple and Google purchases — PP §3.4]</w:t>
            </w:r>
          </w:p>
        </w:tc>
        <w:tc>
          <w:tcPr>
            <w:tcW w:w="3120" w:type="dxa"/>
          </w:tcPr>
          <w:p>
            <w:pPr>
              <w:spacing w:after="40"/>
            </w:pPr>
            <w:r>
              <w:rPr>
                <w:rFonts w:ascii="Times New Roman" w:hAnsi="Times New Roman" w:cs="Times New Roman"/>
                <w:sz w:val="17"/>
                <w:szCs w:val="17"/>
              </w:rPr>
              <w:t xml:space="preserve">For the period tax and accounting law requires </w:t>
            </w:r>
            <w:r>
              <w:rPr>
                <w:rFonts w:ascii="Consolas" w:hAnsi="Consolas" w:cs="Times New Roman"/>
                <w:sz w:val="17"/>
                <w:szCs w:val="17"/>
              </w:rPr>
              <w:t xml:space="preserve">[VERIFY and tax counsel]</w:t>
            </w:r>
          </w:p>
        </w:tc>
      </w:tr>
      <w:tr>
        <w:trPr>
          <w:cantSplit/>
        </w:trPr>
        <w:tc>
          <w:tcPr>
            <w:tcW w:w="3120" w:type="dxa"/>
          </w:tcPr>
          <w:p>
            <w:pPr>
              <w:spacing w:after="40"/>
            </w:pPr>
            <w:r>
              <w:rPr>
                <w:rFonts w:ascii="Times New Roman" w:hAnsi="Times New Roman" w:cs="Times New Roman"/>
                <w:sz w:val="17"/>
                <w:szCs w:val="17"/>
              </w:rPr>
              <w:t xml:space="preserve">Cryptocurrency wallet address and transaction hash</w:t>
            </w:r>
          </w:p>
        </w:tc>
        <w:tc>
          <w:tcPr>
            <w:tcW w:w="3120" w:type="dxa"/>
          </w:tcPr>
          <w:p>
            <w:pPr>
              <w:spacing w:after="40"/>
            </w:pPr>
            <w:r>
              <w:rPr>
                <w:rFonts w:ascii="Consolas" w:hAnsi="Consolas" w:cs="Times New Roman"/>
                <w:sz w:val="17"/>
                <w:szCs w:val="17"/>
              </w:rPr>
              <w:t xml:space="preserve">[OPEN — BRF-2026-001 D7]</w:t>
            </w:r>
          </w:p>
        </w:tc>
        <w:tc>
          <w:tcPr>
            <w:tcW w:w="3120" w:type="dxa"/>
          </w:tcPr>
          <w:p>
            <w:pPr>
              <w:spacing w:after="40"/>
            </w:pPr>
            <w:r>
              <w:rPr>
                <w:rFonts w:ascii="Consolas" w:hAnsi="Consolas" w:cs="Times New Roman"/>
                <w:sz w:val="17"/>
                <w:szCs w:val="17"/>
              </w:rPr>
              <w:t xml:space="preserve">[OPEN]</w:t>
            </w:r>
          </w:p>
        </w:tc>
      </w:tr>
      <w:tr>
        <w:trPr>
          <w:cantSplit/>
        </w:trPr>
        <w:tc>
          <w:tcPr>
            <w:tcW w:w="3120" w:type="dxa"/>
          </w:tcPr>
          <w:p>
            <w:pPr>
              <w:spacing w:after="40"/>
            </w:pPr>
            <w:r>
              <w:rPr>
                <w:rFonts w:ascii="Times New Roman" w:hAnsi="Times New Roman" w:cs="Times New Roman"/>
                <w:sz w:val="17"/>
                <w:szCs w:val="17"/>
              </w:rPr>
              <w:t xml:space="preserve">Crash and diagnostic reports</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90 days]</w:t>
            </w:r>
          </w:p>
        </w:tc>
      </w:tr>
      <w:tr>
        <w:trPr>
          <w:cantSplit/>
        </w:trPr>
        <w:tc>
          <w:tcPr>
            <w:tcW w:w="3120" w:type="dxa"/>
          </w:tcPr>
          <w:p>
            <w:pPr>
              <w:spacing w:after="40"/>
            </w:pPr>
            <w:r>
              <w:rPr>
                <w:rFonts w:ascii="Times New Roman" w:hAnsi="Times New Roman" w:cs="Times New Roman"/>
                <w:sz w:val="17"/>
                <w:szCs w:val="17"/>
              </w:rPr>
              <w:t xml:space="preserve">Analytics and measurement data</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13 months]</w:t>
            </w:r>
          </w:p>
        </w:tc>
      </w:tr>
      <w:tr>
        <w:trPr>
          <w:cantSplit/>
        </w:trPr>
        <w:tc>
          <w:tcPr>
            <w:tcW w:w="3120" w:type="dxa"/>
          </w:tcPr>
          <w:p>
            <w:pPr>
              <w:spacing w:after="40"/>
            </w:pPr>
            <w:r>
              <w:rPr>
                <w:rFonts w:ascii="Times New Roman" w:hAnsi="Times New Roman" w:cs="Times New Roman"/>
                <w:sz w:val="17"/>
                <w:szCs w:val="17"/>
              </w:rPr>
              <w:t xml:space="preserve">Support messages</w:t>
            </w:r>
          </w:p>
        </w:tc>
        <w:tc>
          <w:tcPr>
            <w:tcW w:w="3120" w:type="dxa"/>
          </w:tcPr>
          <w:p>
            <w:pPr>
              <w:spacing w:after="40"/>
            </w:pPr>
            <w:r>
              <w:rPr>
                <w:rFonts w:ascii="Consolas" w:hAnsi="Consolas" w:cs="Times New Roman"/>
                <w:sz w:val="17"/>
                <w:szCs w:val="17"/>
              </w:rPr>
              <w:t xml:space="preserve">[ENGINEERING: Yes]</w:t>
            </w:r>
          </w:p>
        </w:tc>
        <w:tc>
          <w:tcPr>
            <w:tcW w:w="3120" w:type="dxa"/>
          </w:tcPr>
          <w:p>
            <w:pPr>
              <w:spacing w:after="40"/>
            </w:pPr>
            <w:r>
              <w:rPr>
                <w:rFonts w:ascii="Times New Roman" w:hAnsi="Times New Roman" w:cs="Times New Roman"/>
                <w:sz w:val="17"/>
                <w:szCs w:val="17"/>
              </w:rPr>
              <w:t xml:space="preserve">Up to 12 months after the request is closed, or until the account is deleted, unless needed for an open matter</w:t>
            </w:r>
          </w:p>
        </w:tc>
      </w:tr>
      <w:tr>
        <w:trPr>
          <w:cantSplit/>
        </w:trPr>
        <w:tc>
          <w:tcPr>
            <w:tcW w:w="3120" w:type="dxa"/>
          </w:tcPr>
          <w:p>
            <w:pPr>
              <w:spacing w:after="40"/>
            </w:pPr>
            <w:r>
              <w:rPr>
                <w:rFonts w:ascii="Times New Roman" w:hAnsi="Times New Roman" w:cs="Times New Roman"/>
                <w:sz w:val="17"/>
                <w:szCs w:val="17"/>
              </w:rPr>
              <w:t xml:space="preserve">Push token</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Until it becomes invalid, notifications are disabled or the account is deleted, then up to 30 days</w:t>
            </w:r>
          </w:p>
        </w:tc>
      </w:tr>
      <w:tr>
        <w:trPr>
          <w:cantSplit/>
        </w:trPr>
        <w:tc>
          <w:tcPr>
            <w:tcW w:w="3120" w:type="dxa"/>
          </w:tcPr>
          <w:p>
            <w:pPr>
              <w:spacing w:after="40"/>
            </w:pPr>
            <w:r>
              <w:rPr>
                <w:rFonts w:ascii="Times New Roman" w:hAnsi="Times New Roman" w:cs="Times New Roman"/>
                <w:sz w:val="17"/>
                <w:szCs w:val="17"/>
              </w:rPr>
              <w:t xml:space="preserve">Records of privacy requests</w:t>
            </w:r>
          </w:p>
        </w:tc>
        <w:tc>
          <w:tcPr>
            <w:tcW w:w="3120" w:type="dxa"/>
          </w:tcPr>
          <w:p>
            <w:pPr>
              <w:spacing w:after="40"/>
            </w:pPr>
            <w:r>
              <w:rPr>
                <w:rFonts w:ascii="Consolas" w:hAnsi="Consolas" w:cs="Times New Roman"/>
                <w:sz w:val="17"/>
                <w:szCs w:val="17"/>
              </w:rPr>
              <w:t xml:space="preserve">[ENGINEERING: Yes]</w:t>
            </w:r>
          </w:p>
        </w:tc>
        <w:tc>
          <w:tcPr>
            <w:tcW w:w="3120" w:type="dxa"/>
          </w:tcPr>
          <w:p>
            <w:pPr>
              <w:spacing w:after="40"/>
            </w:pPr>
            <w:r>
              <w:rPr>
                <w:rFonts w:ascii="Times New Roman" w:hAnsi="Times New Roman" w:cs="Times New Roman"/>
                <w:sz w:val="17"/>
                <w:szCs w:val="17"/>
              </w:rPr>
              <w:t xml:space="preserve">Up to 5 years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Backups</w:t>
            </w:r>
          </w:p>
        </w:tc>
        <w:tc>
          <w:tcPr>
            <w:tcW w:w="3120" w:type="dxa"/>
          </w:tcPr>
          <w:p>
            <w:pPr>
              <w:spacing w:after="40"/>
            </w:pP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90 days]</w:t>
            </w:r>
          </w:p>
        </w:tc>
      </w:tr>
    </w:tbl>
    <w:p>
      <w:pPr>
        <w:spacing w:after="60"/>
      </w:pPr>
    </w:p>
    <w:p>
      <w:pPr>
        <w:pStyle w:val="Heading2"/>
        <w:keepNext/>
      </w:pPr>
      <w:r>
        <w:rPr>
          <w:rFonts w:ascii="Times New Roman" w:hAnsi="Times New Roman" w:cs="Times New Roman"/>
        </w:rPr>
        <w:t xml:space="preserve">4. Preservation requests</w:t>
      </w:r>
    </w:p>
    <w:p>
      <w:pPr>
        <w:jc w:val="both"/>
      </w:pPr>
      <w:r>
        <w:rPr>
          <w:rFonts w:ascii="Times New Roman" w:hAnsi="Times New Roman" w:cs="Times New Roman"/>
        </w:rPr>
        <w:t xml:space="preserve">On a valid preservation request from a U.S. authority, we preserve records that exist when we receive the request for 90 days, extended by a further 90 days on a renewed request, pending receipt of legal process (18 U.S.C. §2703(f)). A preservation request does not by itself lead to disclosure. We do not start recording activity that we do not normally record because of a preservation request.</w:t>
      </w:r>
    </w:p>
    <w:p>
      <w:pPr>
        <w:pStyle w:val="Heading2"/>
        <w:keepNext/>
      </w:pPr>
      <w:r>
        <w:rPr>
          <w:rFonts w:ascii="Times New Roman" w:hAnsi="Times New Roman" w:cs="Times New Roman"/>
        </w:rPr>
        <w:t xml:space="preserve">5. Emergencies</w:t>
      </w:r>
    </w:p>
    <w:p>
      <w:pPr>
        <w:jc w:val="both"/>
      </w:pPr>
      <w:r>
        <w:rPr>
          <w:rFonts w:ascii="Times New Roman" w:hAnsi="Times New Roman" w:cs="Times New Roman"/>
        </w:rPr>
        <w:t xml:space="preserve">If you believe in good faith that an emergency involving danger of death or serious physical injury to any person requires disclosure without delay, send an emergency request to </w:t>
      </w:r>
      <w:r>
        <w:rPr>
          <w:rFonts w:ascii="Consolas" w:hAnsi="Consolas" w:cs="Times New Roman"/>
        </w:rPr>
        <w:t xml:space="preserve">[OPEN: legalrequests@hidzovpn.com]</w:t>
      </w:r>
      <w:r>
        <w:rPr>
          <w:rFonts w:ascii="Times New Roman" w:hAnsi="Times New Roman" w:cs="Times New Roman"/>
        </w:rPr>
        <w:t xml:space="preserve"> with the subject "EMERGENCY". Describe the specific danger and explain why the information is needed without delay. We review emergency requests promptly and may disclose information voluntarily where the law permits (18 U.S.C. §2702(b)(8), (c)(4)) </w:t>
      </w:r>
      <w:r>
        <w:rPr>
          <w:rFonts w:ascii="Consolas" w:hAnsi="Consolas" w:cs="Times New Roman"/>
        </w:rPr>
        <w:t xml:space="preserve">[COUNSEL]</w:t>
      </w:r>
      <w:r>
        <w:rPr>
          <w:rFonts w:ascii="Times New Roman" w:hAnsi="Times New Roman" w:cs="Times New Roman"/>
        </w:rPr>
        <w:t xml:space="preserve">.</w:t>
      </w:r>
    </w:p>
    <w:p>
      <w:pPr>
        <w:pStyle w:val="Heading2"/>
        <w:keepNext/>
      </w:pPr>
      <w:r>
        <w:rPr>
          <w:rFonts w:ascii="Times New Roman" w:hAnsi="Times New Roman" w:cs="Times New Roman"/>
        </w:rPr>
        <w:t xml:space="preserve">6. Notice to users</w:t>
      </w:r>
    </w:p>
    <w:p>
      <w:pPr>
        <w:jc w:val="both"/>
      </w:pPr>
      <w:r>
        <w:rPr>
          <w:rFonts w:ascii="Times New Roman" w:hAnsi="Times New Roman" w:cs="Times New Roman"/>
        </w:rPr>
        <w:t xml:space="preserve">Where we have contact details for the user and the law allows it, we will notify the user before disclosing their information. We may delay notice in an emergency, where a court order prohibits it (for example under 18 U.S.C. §2705(b)), or where notice would create a risk of harm, and we will then notify the user once that reason no longer applies </w:t>
      </w:r>
      <w:r>
        <w:rPr>
          <w:rFonts w:ascii="Consolas" w:hAnsi="Consolas" w:cs="Times New Roman"/>
        </w:rPr>
        <w:t xml:space="preserve">[COUNSEL]</w:t>
      </w:r>
      <w:r>
        <w:rPr>
          <w:rFonts w:ascii="Times New Roman" w:hAnsi="Times New Roman" w:cs="Times New Roman"/>
        </w:rPr>
        <w:t xml:space="preserve">.</w:t>
      </w:r>
    </w:p>
    <w:p>
      <w:pPr>
        <w:pStyle w:val="Heading2"/>
        <w:keepNext/>
      </w:pPr>
      <w:r>
        <w:rPr>
          <w:rFonts w:ascii="Times New Roman" w:hAnsi="Times New Roman" w:cs="Times New Roman"/>
        </w:rPr>
        <w:t xml:space="preserve">7. Transparency</w:t>
      </w:r>
    </w:p>
    <w:p>
      <w:pPr>
        <w:jc w:val="both"/>
      </w:pPr>
      <w:r>
        <w:rPr>
          <w:rFonts w:ascii="Consolas" w:hAnsi="Consolas" w:cs="Times New Roman"/>
        </w:rPr>
        <w:t xml:space="preserve">[OPEN: include only when the first transparency report is approved; no warrant canary without counsel's advice]</w:t>
      </w:r>
    </w:p>
    <w:p>
      <w:pPr>
        <w:pStyle w:val="Heading2"/>
        <w:keepNext/>
      </w:pPr>
      <w:r>
        <w:rPr>
          <w:rFonts w:ascii="Times New Roman" w:hAnsi="Times New Roman" w:cs="Times New Roman"/>
        </w:rPr>
        <w:t xml:space="preserve">8. Costs</w:t>
      </w:r>
    </w:p>
    <w:p>
      <w:pPr>
        <w:jc w:val="both"/>
      </w:pPr>
      <w:r>
        <w:rPr>
          <w:rFonts w:ascii="Times New Roman" w:hAnsi="Times New Roman" w:cs="Times New Roman"/>
        </w:rPr>
        <w:t xml:space="preserve">We may seek reimbursement of reasonable costs where the law permits (18 U.S.C. §2706) </w:t>
      </w:r>
      <w:r>
        <w:rPr>
          <w:rFonts w:ascii="Consolas" w:hAnsi="Consolas" w:cs="Times New Roman"/>
        </w:rPr>
        <w:t xml:space="preserve">[VERIFY: §2706 not re-read first-hand — EV-237]</w:t>
      </w:r>
      <w:r>
        <w:rPr>
          <w:rFonts w:ascii="Times New Roman" w:hAnsi="Times New Roman" w:cs="Times New Roman"/>
        </w:rPr>
        <w:t xml:space="preserve">.</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Sources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Voluntary disclosure; emergency exception; non-content disclosure to non-governmental persons; orders under CLOUD Act agreements</w:t>
            </w:r>
          </w:p>
        </w:tc>
        <w:tc>
          <w:tcPr>
            <w:tcW w:w="3120" w:type="dxa"/>
          </w:tcPr>
          <w:p>
            <w:pPr>
              <w:spacing w:after="40"/>
            </w:pPr>
            <w:r>
              <w:rPr>
                <w:rFonts w:ascii="Times New Roman" w:hAnsi="Times New Roman" w:cs="Times New Roman"/>
                <w:sz w:val="17"/>
                <w:szCs w:val="17"/>
              </w:rPr>
              <w:t xml:space="preserve">18 U.S.C. §2702(a)(3), (b)(8), (b)(9), (c)(4), (c)(6), (c)(7)</w:t>
            </w:r>
          </w:p>
        </w:tc>
        <w:tc>
          <w:tcPr>
            <w:tcW w:w="3120" w:type="dxa"/>
          </w:tcPr>
          <w:p>
            <w:pPr>
              <w:spacing w:after="40"/>
            </w:pPr>
            <w:r>
              <w:rPr>
                <w:rFonts w:ascii="Times New Roman" w:hAnsi="Times New Roman" w:cs="Times New Roman"/>
                <w:sz w:val="17"/>
                <w:szCs w:val="17"/>
              </w:rPr>
              <w:t xml:space="preserve">Verified (A) — uscode.house.gov, "laws in effect on September 24, 2026" (EV-244)</w:t>
            </w:r>
          </w:p>
        </w:tc>
      </w:tr>
      <w:tr>
        <w:trPr>
          <w:cantSplit/>
        </w:trPr>
        <w:tc>
          <w:tcPr>
            <w:tcW w:w="3120" w:type="dxa"/>
          </w:tcPr>
          <w:p>
            <w:pPr>
              <w:spacing w:after="40"/>
            </w:pPr>
            <w:r>
              <w:rPr>
                <w:rFonts w:ascii="Times New Roman" w:hAnsi="Times New Roman" w:cs="Times New Roman"/>
                <w:sz w:val="17"/>
                <w:szCs w:val="17"/>
              </w:rPr>
              <w:t xml:space="preserve">Compelled disclosure ladder; preservation</w:t>
            </w:r>
          </w:p>
        </w:tc>
        <w:tc>
          <w:tcPr>
            <w:tcW w:w="3120" w:type="dxa"/>
          </w:tcPr>
          <w:p>
            <w:pPr>
              <w:spacing w:after="40"/>
            </w:pPr>
            <w:r>
              <w:rPr>
                <w:rFonts w:ascii="Times New Roman" w:hAnsi="Times New Roman" w:cs="Times New Roman"/>
                <w:sz w:val="17"/>
                <w:szCs w:val="17"/>
              </w:rPr>
              <w:t xml:space="preserve">18 U.S.C. §2703(a)–(d), (f)</w:t>
            </w:r>
          </w:p>
        </w:tc>
        <w:tc>
          <w:tcPr>
            <w:tcW w:w="3120" w:type="dxa"/>
          </w:tcPr>
          <w:p>
            <w:pPr>
              <w:spacing w:after="40"/>
            </w:pPr>
            <w:r>
              <w:rPr>
                <w:rFonts w:ascii="Times New Roman" w:hAnsi="Times New Roman" w:cs="Times New Roman"/>
                <w:sz w:val="17"/>
                <w:szCs w:val="17"/>
              </w:rPr>
              <w:t xml:space="preserve">Verified (A) (EV-244)</w:t>
            </w:r>
          </w:p>
        </w:tc>
      </w:tr>
      <w:tr>
        <w:trPr>
          <w:cantSplit/>
        </w:trPr>
        <w:tc>
          <w:tcPr>
            <w:tcW w:w="3120" w:type="dxa"/>
          </w:tcPr>
          <w:p>
            <w:pPr>
              <w:spacing w:after="40"/>
            </w:pPr>
            <w:r>
              <w:rPr>
                <w:rFonts w:ascii="Times New Roman" w:hAnsi="Times New Roman" w:cs="Times New Roman"/>
                <w:sz w:val="17"/>
                <w:szCs w:val="17"/>
              </w:rPr>
              <w:t xml:space="preserve">Delayed notice; preclusion of notice</w:t>
            </w:r>
          </w:p>
        </w:tc>
        <w:tc>
          <w:tcPr>
            <w:tcW w:w="3120" w:type="dxa"/>
          </w:tcPr>
          <w:p>
            <w:pPr>
              <w:spacing w:after="40"/>
            </w:pPr>
            <w:r>
              <w:rPr>
                <w:rFonts w:ascii="Times New Roman" w:hAnsi="Times New Roman" w:cs="Times New Roman"/>
                <w:sz w:val="17"/>
                <w:szCs w:val="17"/>
              </w:rPr>
              <w:t xml:space="preserve">18 U.S.C. §2705(a)–(b)</w:t>
            </w:r>
          </w:p>
        </w:tc>
        <w:tc>
          <w:tcPr>
            <w:tcW w:w="3120" w:type="dxa"/>
          </w:tcPr>
          <w:p>
            <w:pPr>
              <w:spacing w:after="40"/>
            </w:pPr>
            <w:r>
              <w:rPr>
                <w:rFonts w:ascii="Times New Roman" w:hAnsi="Times New Roman" w:cs="Times New Roman"/>
                <w:sz w:val="17"/>
                <w:szCs w:val="17"/>
              </w:rPr>
              <w:t xml:space="preserve">Verified (A) (EV-244)</w:t>
            </w:r>
          </w:p>
        </w:tc>
      </w:tr>
      <w:tr>
        <w:trPr>
          <w:cantSplit/>
        </w:trPr>
        <w:tc>
          <w:tcPr>
            <w:tcW w:w="3120" w:type="dxa"/>
          </w:tcPr>
          <w:p>
            <w:pPr>
              <w:spacing w:after="40"/>
            </w:pPr>
            <w:r>
              <w:rPr>
                <w:rFonts w:ascii="Times New Roman" w:hAnsi="Times New Roman" w:cs="Times New Roman"/>
                <w:sz w:val="17"/>
                <w:szCs w:val="17"/>
              </w:rPr>
              <w:t xml:space="preserve">Costs</w:t>
            </w:r>
          </w:p>
        </w:tc>
        <w:tc>
          <w:tcPr>
            <w:tcW w:w="3120" w:type="dxa"/>
          </w:tcPr>
          <w:p>
            <w:pPr>
              <w:spacing w:after="40"/>
            </w:pPr>
            <w:r>
              <w:rPr>
                <w:rFonts w:ascii="Times New Roman" w:hAnsi="Times New Roman" w:cs="Times New Roman"/>
                <w:sz w:val="17"/>
                <w:szCs w:val="17"/>
              </w:rPr>
              <w:t xml:space="preserve">18 U.S.C. §2706</w:t>
            </w:r>
          </w:p>
        </w:tc>
        <w:tc>
          <w:tcPr>
            <w:tcW w:w="3120" w:type="dxa"/>
          </w:tcPr>
          <w:p>
            <w:pPr>
              <w:spacing w:after="40"/>
            </w:pPr>
            <w:r>
              <w:rPr>
                <w:rFonts w:ascii="Times New Roman" w:hAnsi="Times New Roman" w:cs="Times New Roman"/>
                <w:sz w:val="17"/>
                <w:szCs w:val="17"/>
              </w:rPr>
              <w:t xml:space="preserve">Reported (EV-237)</w:t>
            </w:r>
          </w:p>
        </w:tc>
      </w:tr>
      <w:tr>
        <w:trPr>
          <w:cantSplit/>
        </w:trPr>
        <w:tc>
          <w:tcPr>
            <w:tcW w:w="3120" w:type="dxa"/>
          </w:tcPr>
          <w:p>
            <w:pPr>
              <w:spacing w:after="40"/>
            </w:pPr>
            <w:r>
              <w:rPr>
                <w:rFonts w:ascii="Times New Roman" w:hAnsi="Times New Roman" w:cs="Times New Roman"/>
                <w:sz w:val="17"/>
                <w:szCs w:val="17"/>
              </w:rPr>
              <w:t xml:space="preserve">Definitions (governmental entity = U.S. federal or state bodies only, so the emergency exceptions do not cover foreign police </w:t>
            </w:r>
            <w:r>
              <w:rPr>
                <w:rFonts w:ascii="Consolas" w:hAnsi="Consolas" w:cs="Times New Roman"/>
                <w:sz w:val="17"/>
                <w:szCs w:val="17"/>
              </w:rPr>
              <w:t xml:space="preserve">[COUNSEL: handling of foreign emergency requests]</w:t>
            </w:r>
            <w:r>
              <w:rPr>
                <w:rFonts w:ascii="Times New Roman" w:hAnsi="Times New Roman" w:cs="Times New Roman"/>
                <w:sz w:val="17"/>
                <w:szCs w:val="17"/>
              </w:rPr>
              <w:t xml:space="preserve">; ECS)</w:t>
            </w:r>
          </w:p>
        </w:tc>
        <w:tc>
          <w:tcPr>
            <w:tcW w:w="3120" w:type="dxa"/>
          </w:tcPr>
          <w:p>
            <w:pPr>
              <w:spacing w:after="40"/>
            </w:pPr>
            <w:r>
              <w:rPr>
                <w:rFonts w:ascii="Times New Roman" w:hAnsi="Times New Roman" w:cs="Times New Roman"/>
                <w:sz w:val="17"/>
                <w:szCs w:val="17"/>
              </w:rPr>
              <w:t xml:space="preserve">18 U.S.C. §§2711(4); 2510(15)</w:t>
            </w:r>
          </w:p>
        </w:tc>
        <w:tc>
          <w:tcPr>
            <w:tcW w:w="3120" w:type="dxa"/>
          </w:tcPr>
          <w:p>
            <w:pPr>
              <w:spacing w:after="40"/>
            </w:pPr>
            <w:r>
              <w:rPr>
                <w:rFonts w:ascii="Times New Roman" w:hAnsi="Times New Roman" w:cs="Times New Roman"/>
                <w:sz w:val="17"/>
                <w:szCs w:val="17"/>
              </w:rPr>
              <w:t xml:space="preserve">§2711(4) Verified (A) (EV-244); §2510(15) Reported (EV-237)</w:t>
            </w:r>
          </w:p>
        </w:tc>
      </w:tr>
      <w:tr>
        <w:trPr>
          <w:cantSplit/>
        </w:trPr>
        <w:tc>
          <w:tcPr>
            <w:tcW w:w="3120" w:type="dxa"/>
          </w:tcPr>
          <w:p>
            <w:pPr>
              <w:spacing w:after="40"/>
            </w:pPr>
            <w:r>
              <w:rPr>
                <w:rFonts w:ascii="Times New Roman" w:hAnsi="Times New Roman" w:cs="Times New Roman"/>
                <w:sz w:val="17"/>
                <w:szCs w:val="17"/>
              </w:rPr>
              <w:t xml:space="preserve">Data regardless of location</w:t>
            </w:r>
          </w:p>
        </w:tc>
        <w:tc>
          <w:tcPr>
            <w:tcW w:w="3120" w:type="dxa"/>
          </w:tcPr>
          <w:p>
            <w:pPr>
              <w:spacing w:after="40"/>
            </w:pPr>
            <w:r>
              <w:rPr>
                <w:rFonts w:ascii="Times New Roman" w:hAnsi="Times New Roman" w:cs="Times New Roman"/>
                <w:sz w:val="17"/>
                <w:szCs w:val="17"/>
              </w:rPr>
              <w:t xml:space="preserve">18 U.S.C. §2713</w:t>
            </w:r>
          </w:p>
        </w:tc>
        <w:tc>
          <w:tcPr>
            <w:tcW w:w="3120" w:type="dxa"/>
          </w:tcPr>
          <w:p>
            <w:pPr>
              <w:spacing w:after="40"/>
            </w:pPr>
            <w:r>
              <w:rPr>
                <w:rFonts w:ascii="Times New Roman" w:hAnsi="Times New Roman" w:cs="Times New Roman"/>
                <w:sz w:val="17"/>
                <w:szCs w:val="17"/>
              </w:rPr>
              <w:t xml:space="preserve">Verified (A) (EV-244)</w:t>
            </w:r>
          </w:p>
        </w:tc>
      </w:tr>
      <w:tr>
        <w:trPr>
          <w:cantSplit/>
        </w:trPr>
        <w:tc>
          <w:tcPr>
            <w:tcW w:w="3120" w:type="dxa"/>
          </w:tcPr>
          <w:p>
            <w:pPr>
              <w:spacing w:after="40"/>
            </w:pPr>
            <w:r>
              <w:rPr>
                <w:rFonts w:ascii="Times New Roman" w:hAnsi="Times New Roman" w:cs="Times New Roman"/>
                <w:sz w:val="17"/>
                <w:szCs w:val="17"/>
              </w:rPr>
              <w:t xml:space="preserve">Florida business served with another state's process: duty to produce; immunity; content only by court order or warrant; contempt fines $100–$1,000 per day up to 60 days</w:t>
            </w:r>
          </w:p>
        </w:tc>
        <w:tc>
          <w:tcPr>
            <w:tcW w:w="3120" w:type="dxa"/>
          </w:tcPr>
          <w:p>
            <w:pPr>
              <w:spacing w:after="40"/>
            </w:pPr>
            <w:r>
              <w:rPr>
                <w:rFonts w:ascii="Times New Roman" w:hAnsi="Times New Roman" w:cs="Times New Roman"/>
                <w:sz w:val="17"/>
                <w:szCs w:val="17"/>
              </w:rPr>
              <w:t xml:space="preserve">Fla. Stat. §92.605(3), (4), (9), (10)</w:t>
            </w:r>
          </w:p>
        </w:tc>
        <w:tc>
          <w:tcPr>
            <w:tcW w:w="3120" w:type="dxa"/>
          </w:tcPr>
          <w:p>
            <w:pPr>
              <w:spacing w:after="40"/>
            </w:pPr>
            <w:r>
              <w:rPr>
                <w:rFonts w:ascii="Times New Roman" w:hAnsi="Times New Roman" w:cs="Times New Roman"/>
                <w:sz w:val="17"/>
                <w:szCs w:val="17"/>
              </w:rPr>
              <w:t xml:space="preserve">Verified (A) — 2026 Florida Statutes (EV-247). The 20-business-day rule in §92.605(2) applies to out-of-state corporations only; timing follows the process served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CLOUD Act agreements</w:t>
            </w:r>
          </w:p>
        </w:tc>
        <w:tc>
          <w:tcPr>
            <w:tcW w:w="3120" w:type="dxa"/>
          </w:tcPr>
          <w:p>
            <w:pPr>
              <w:spacing w:after="40"/>
            </w:pPr>
            <w:r>
              <w:rPr>
                <w:rFonts w:ascii="Times New Roman" w:hAnsi="Times New Roman" w:cs="Times New Roman"/>
                <w:sz w:val="17"/>
                <w:szCs w:val="17"/>
              </w:rPr>
              <w:t xml:space="preserve">UK–US agreement in force 3 Oct 2022; Australia listed, entry into force </w:t>
            </w:r>
            <w:r>
              <w:rPr>
                <w:rFonts w:ascii="Consolas" w:hAnsi="Consolas" w:cs="Times New Roman"/>
                <w:sz w:val="17"/>
                <w:szCs w:val="17"/>
              </w:rPr>
              <w:t xml:space="preserve">[VERIFY]</w:t>
            </w:r>
            <w:r>
              <w:rPr>
                <w:rFonts w:ascii="Times New Roman" w:hAnsi="Times New Roman" w:cs="Times New Roman"/>
                <w:sz w:val="17"/>
                <w:szCs w:val="17"/>
              </w:rPr>
              <w:t xml:space="preserve">; MLAT-only is company policy, not statute</w:t>
            </w:r>
          </w:p>
        </w:tc>
        <w:tc>
          <w:tcPr>
            <w:tcW w:w="3120" w:type="dxa"/>
          </w:tcPr>
          <w:p>
            <w:pPr>
              <w:spacing w:after="40"/>
            </w:pPr>
            <w:r>
              <w:rPr>
                <w:rFonts w:ascii="Times New Roman" w:hAnsi="Times New Roman" w:cs="Times New Roman"/>
                <w:sz w:val="17"/>
                <w:szCs w:val="17"/>
              </w:rPr>
              <w:t xml:space="preserve">Reported (B) (EV-245, EV-246)</w:t>
            </w:r>
          </w:p>
        </w:tc>
      </w:tr>
      <w:tr>
        <w:trPr>
          <w:cantSplit/>
        </w:trPr>
        <w:tc>
          <w:tcPr>
            <w:tcW w:w="3120" w:type="dxa"/>
          </w:tcPr>
          <w:p>
            <w:pPr>
              <w:spacing w:after="40"/>
            </w:pPr>
            <w:r>
              <w:rPr>
                <w:rFonts w:ascii="Times New Roman" w:hAnsi="Times New Roman" w:cs="Times New Roman"/>
                <w:sz w:val="17"/>
                <w:szCs w:val="17"/>
              </w:rPr>
              <w:t xml:space="preserve">EU e-Evidence</w:t>
            </w:r>
          </w:p>
        </w:tc>
        <w:tc>
          <w:tcPr>
            <w:tcW w:w="3120" w:type="dxa"/>
          </w:tcPr>
          <w:p>
            <w:pPr>
              <w:spacing w:after="40"/>
            </w:pPr>
            <w:r>
              <w:rPr>
                <w:rFonts w:ascii="Times New Roman" w:hAnsi="Times New Roman" w:cs="Times New Roman"/>
                <w:sz w:val="17"/>
                <w:szCs w:val="17"/>
              </w:rPr>
              <w:t xml:space="preserve">Regulation (EU) 2023/1543; Directive (EU) 2023/1544 (reported to apply from 18 Aug 2026)</w:t>
            </w:r>
          </w:p>
        </w:tc>
        <w:tc>
          <w:tcPr>
            <w:tcW w:w="3120" w:type="dxa"/>
          </w:tcPr>
          <w:p>
            <w:pPr>
              <w:spacing w:after="40"/>
            </w:pPr>
            <w:r>
              <w:rPr>
                <w:rFonts w:ascii="Times New Roman" w:hAnsi="Times New Roman" w:cs="Times New Roman"/>
                <w:sz w:val="17"/>
                <w:szCs w:val="17"/>
              </w:rPr>
              <w:t xml:space="preserve">Level D </w:t>
            </w: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CSAM preservation</w:t>
            </w:r>
          </w:p>
        </w:tc>
        <w:tc>
          <w:tcPr>
            <w:tcW w:w="3120" w:type="dxa"/>
          </w:tcPr>
          <w:p>
            <w:pPr>
              <w:spacing w:after="40"/>
            </w:pPr>
            <w:r>
              <w:rPr>
                <w:rFonts w:ascii="Times New Roman" w:hAnsi="Times New Roman" w:cs="Times New Roman"/>
                <w:sz w:val="17"/>
                <w:szCs w:val="17"/>
              </w:rPr>
              <w:t xml:space="preserve">18 U.S.C. §2258A(h)</w:t>
            </w:r>
          </w:p>
        </w:tc>
        <w:tc>
          <w:tcPr>
            <w:tcW w:w="3120" w:type="dxa"/>
          </w:tcPr>
          <w:p>
            <w:pPr>
              <w:spacing w:after="40"/>
            </w:pPr>
            <w:r>
              <w:rPr>
                <w:rFonts w:ascii="Times New Roman" w:hAnsi="Times New Roman" w:cs="Times New Roman"/>
                <w:sz w:val="17"/>
                <w:szCs w:val="17"/>
              </w:rPr>
              <w:t xml:space="preserve">Reported (EV-236)</w:t>
            </w:r>
          </w:p>
        </w:tc>
      </w:tr>
    </w:tbl>
    <w:p>
      <w:pPr>
        <w:spacing w:after="60"/>
      </w:pPr>
    </w:p>
    <w:p>
      <w:pPr>
        <w:pStyle w:val="Heading3"/>
        <w:keepNext/>
      </w:pPr>
      <w:r>
        <w:rPr>
          <w:rFonts w:ascii="Times New Roman" w:hAnsi="Times New Roman" w:cs="Times New Roman"/>
        </w:rPr>
        <w:t xml:space="preserve">C.2 Internal procedure (restricted — folder 12, not drafted here)</w:t>
      </w:r>
    </w:p>
    <w:p>
      <w:pPr>
        <w:jc w:val="both"/>
      </w:pPr>
      <w:r>
        <w:rPr>
          <w:rFonts w:ascii="Times New Roman" w:hAnsi="Times New Roman" w:cs="Times New Roman"/>
        </w:rPr>
        <w:t xml:space="preserve">Single intake; verification of the requester through independently sourced contacts; counsel review before any response; litigation hold; request log; escalation for foreign and civil requests (sanctions and staff-safety review — RSK-031); no staff member responds individually.</w:t>
      </w:r>
    </w:p>
    <w:p>
      <w:pPr>
        <w:pStyle w:val="Heading3"/>
        <w:keepNext/>
      </w:pPr>
      <w:r>
        <w:rPr>
          <w:rFonts w:ascii="Times New Roman" w:hAnsi="Times New Roman" w:cs="Times New Roman"/>
        </w:rPr>
        <w:t xml:space="preserve">C.3 Limits of this analysis</w:t>
      </w:r>
    </w:p>
    <w:p>
      <w:pPr>
        <w:jc w:val="both"/>
      </w:pPr>
      <w:r>
        <w:rPr>
          <w:rFonts w:ascii="Times New Roman" w:hAnsi="Times New Roman" w:cs="Times New Roman"/>
        </w:rPr>
        <w:t xml:space="preserve">(a) Not reviewed: pen-register, wiretap, national-security and FISA process; CALEA; UK and other foreign production regimes; OFAC for requests from governments of sanctioned countries. (b) Not opened first-hand by Claude: all U.S. Code sections cited (read by AI reviewer); EU e-Evidence texts. (c) Facts unknown: the §3 table (EV-201–205); server countries (RSK-030); holders of hosting contracts (RSK-036); whether mailboxes exist. (d) Counsel required: U.S. criminal procedure and privacy; EU counsel.</w:t>
      </w:r>
    </w:p>
    <w:p>
      <w:pPr>
        <w:pStyle w:val="Heading3"/>
        <w:keepNext/>
      </w:pPr>
      <w:r>
        <w:rPr>
          <w:rFonts w:ascii="Times New Roman" w:hAnsi="Times New Roman" w:cs="Times New Roman"/>
        </w:rPr>
        <w:t xml:space="preserve">C.4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(2 Blockers; 9 Majors)</w:t>
            </w:r>
          </w:p>
        </w:tc>
        <w:tc>
          <w:tcPr>
            <w:tcW w:w="2340" w:type="dxa"/>
          </w:tcPr>
          <w:p>
            <w:pPr>
              <w:spacing w:after="40"/>
            </w:pPr>
            <w:r>
              <w:rPr>
                <w:rFonts w:ascii="Times New Roman" w:hAnsi="Times New Roman" w:cs="Times New Roman"/>
                <w:sz w:val="17"/>
                <w:szCs w:val="17"/>
              </w:rPr>
              <w:t xml:space="preserve">v0.2: §3 rebuilt to mirror the Privacy Policy with every row bracketed (Blockers L-01, L-02); "only legal process" qualified; process ladder table; §92.605(3); civil requests §2.3; foreign requests as policy and e-Evidence; notice workable for guests; verification of requesters; statutory emergency standard; requests to the company only; transparency bracketed</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v0.3: cross-document redlines X-01–X-31 applied where they concern this document; authority labels updated from first-hand and research-memo checks (EV-238–264)</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POL-LE-001  ·  v0.3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Law Enforcement Guidelines (public) — draft with drafting notes</dc:title>
  <dc:creator>HidzoVPN Legal KB</dc:creator>
  <dc:identifier>POL-LE-001</dc:identifier>
  <dcterms:created xsi:type="dcterms:W3CDTF">2026-09-28T09:52:26Z</dcterms:created>
</cp:coreProperties>
</file>