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Cookie Notice (website)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POL-COOK-001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(UK PECR reg. 6 and Sch. A1 as substituted by the Data (Use and Access) Act 2025 read by AI reviewer — Reported; 11 CCR §7025 partly; ePrivacy Art. 5(3) not opened)</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Marketing Lead (named person TBD) with Legal Lead</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The cookie table </w:t>
      </w:r>
      <w:r>
        <w:rPr>
          <w:rFonts w:ascii="Times New Roman" w:hAnsi="Times New Roman" w:cs="Times New Roman"/>
          <w:b/>
          <w:bCs/>
          <w:i/>
        </w:rPr>
        <w:t xml:space="preserve">cannot be completed</w:t>
      </w:r>
      <w:r>
        <w:rPr>
          <w:rFonts w:ascii="Times New Roman" w:hAnsi="Times New Roman" w:cs="Times New Roman"/>
          <w:i/>
        </w:rPr>
        <w:t xml:space="preserve"> until the Google Tag Manager container is exported and a production cookie scan is run (EV-212). No cookie may be listed from assumption.</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Which cookies and similar technologies does the HidzoVPN website use, for what purpose and for how long, and how can visitors control them?</w:t>
            </w:r>
          </w:p>
        </w:tc>
      </w:tr>
      <w:tr>
        <w:trPr>
          <w:cantSplit/>
        </w:trPr>
        <w:tc>
          <w:tcPr>
            <w:tcW w:w="4680" w:type="dxa"/>
          </w:tcPr>
          <w:p>
            <w:pPr>
              <w:spacing w:after="40"/>
            </w:pPr>
            <w:r>
              <w:rPr>
                <w:rFonts w:ascii="Times New Roman" w:hAnsi="Times New Roman" w:cs="Times New Roman"/>
                <w:sz w:val="17"/>
                <w:szCs w:val="17"/>
              </w:rPr>
              <w:t xml:space="preserve">Known facts</w:t>
            </w:r>
          </w:p>
        </w:tc>
        <w:tc>
          <w:tcPr>
            <w:tcW w:w="4680" w:type="dxa"/>
          </w:tcPr>
          <w:p>
            <w:pPr>
              <w:spacing w:after="40"/>
            </w:pPr>
            <w:r>
              <w:rPr>
                <w:rFonts w:ascii="Times New Roman" w:hAnsi="Times New Roman" w:cs="Times New Roman"/>
                <w:sz w:val="17"/>
                <w:szCs w:val="17"/>
              </w:rPr>
              <w:t xml:space="preserve">Google Tag Manager container GTM-PMPZP23K observed on the website (EV-006, Level B, not snapshotted); no consent banner observed (RSK-007); the published Privacy Policy says "We do not use cookies for advertising or third-party tracking" (CLM-021), in EN, AR, TR and ID versions</w:t>
            </w:r>
          </w:p>
        </w:tc>
      </w:tr>
      <w:tr>
        <w:trPr>
          <w:cantSplit/>
        </w:trPr>
        <w:tc>
          <w:tcPr>
            <w:tcW w:w="4680" w:type="dxa"/>
          </w:tcPr>
          <w:p>
            <w:pPr>
              <w:spacing w:after="40"/>
            </w:pPr>
            <w:r>
              <w:rPr>
                <w:rFonts w:ascii="Times New Roman" w:hAnsi="Times New Roman" w:cs="Times New Roman"/>
                <w:sz w:val="17"/>
                <w:szCs w:val="17"/>
              </w:rPr>
              <w:t xml:space="preserve">App SDK storage</w:t>
            </w:r>
          </w:p>
        </w:tc>
        <w:tc>
          <w:tcPr>
            <w:tcW w:w="4680" w:type="dxa"/>
          </w:tcPr>
          <w:p>
            <w:pPr>
              <w:spacing w:after="40"/>
            </w:pPr>
            <w:r>
              <w:rPr>
                <w:rFonts w:ascii="Times New Roman" w:hAnsi="Times New Roman" w:cs="Times New Roman"/>
                <w:sz w:val="17"/>
                <w:szCs w:val="17"/>
              </w:rPr>
              <w:t xml:space="preserve">Storage of or access to information on devices by app SDKs is covered in the Privacy Policy §8 (POL-PRIV-002 v2.3), not here</w:t>
            </w:r>
          </w:p>
        </w:tc>
      </w:tr>
      <w:tr>
        <w:trPr>
          <w:cantSplit/>
        </w:trPr>
        <w:tc>
          <w:tcPr>
            <w:tcW w:w="4680" w:type="dxa"/>
          </w:tcPr>
          <w:p>
            <w:pPr>
              <w:spacing w:after="40"/>
            </w:pPr>
            <w:r>
              <w:rPr>
                <w:rFonts w:ascii="Times New Roman" w:hAnsi="Times New Roman" w:cs="Times New Roman"/>
                <w:sz w:val="17"/>
                <w:szCs w:val="17"/>
              </w:rPr>
              <w:t xml:space="preserve">Legal drivers</w:t>
            </w:r>
          </w:p>
        </w:tc>
        <w:tc>
          <w:tcPr>
            <w:tcW w:w="4680" w:type="dxa"/>
          </w:tcPr>
          <w:p>
            <w:pPr>
              <w:spacing w:after="40"/>
            </w:pPr>
            <w:r>
              <w:rPr>
                <w:rFonts w:ascii="Times New Roman" w:hAnsi="Times New Roman" w:cs="Times New Roman"/>
                <w:sz w:val="17"/>
                <w:szCs w:val="17"/>
              </w:rPr>
              <w:t xml:space="preserve">ePrivacy Directive Art. 5(3) (EEA); UK PECR reg. 6 and Sch. A1 as substituted by the Data (Use and Access) Act 2025, in force 5 Feb 2026 (Reported); CCPA opt-out and GPC (11 CCR §7025, §7026) if the CCPA applies; wiretap and pen-register claims over website tags (California and Florida)</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Cookie Notice</w:t>
      </w:r>
    </w:p>
    <w:p>
      <w:pPr>
        <w:jc w:val="both"/>
      </w:pPr>
      <w:r>
        <w:rPr>
          <w:rFonts w:ascii="Times New Roman" w:hAnsi="Times New Roman" w:cs="Times New Roman"/>
          <w:b/>
          <w:bCs/>
        </w:rPr>
        <w:t xml:space="preserve">Last updated:</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This notice explains how HidzoVPN, Inc. uses cookies and similar technologies on hidzovpn.com and its subdomains </w:t>
      </w:r>
      <w:r>
        <w:rPr>
          <w:rFonts w:ascii="Consolas" w:hAnsi="Consolas" w:cs="Times New Roman"/>
        </w:rPr>
        <w:t xml:space="preserve">[OPEN: list other domains, e.g. help center]</w:t>
      </w:r>
      <w:r>
        <w:rPr>
          <w:rFonts w:ascii="Times New Roman" w:hAnsi="Times New Roman" w:cs="Times New Roman"/>
        </w:rPr>
        <w:t xml:space="preserve">. Our apps are covered by our Privacy Policy.</w:t>
      </w:r>
    </w:p>
    <w:p>
      <w:pPr>
        <w:pStyle w:val="Heading2"/>
        <w:keepNext/>
      </w:pPr>
      <w:r>
        <w:rPr>
          <w:rFonts w:ascii="Times New Roman" w:hAnsi="Times New Roman" w:cs="Times New Roman"/>
        </w:rPr>
        <w:t xml:space="preserve">1. What cookies are</w:t>
      </w:r>
    </w:p>
    <w:p>
      <w:pPr>
        <w:jc w:val="both"/>
      </w:pPr>
      <w:r>
        <w:rPr>
          <w:rFonts w:ascii="Times New Roman" w:hAnsi="Times New Roman" w:cs="Times New Roman"/>
        </w:rPr>
        <w:t xml:space="preserve">Cookies are small files that a website stores in your browser. Similar technologies, such as local storage and pixels, work in a similar way. We call them all "cookies" in this notice.</w:t>
      </w:r>
    </w:p>
    <w:p>
      <w:pPr>
        <w:pStyle w:val="Heading2"/>
        <w:keepNext/>
      </w:pPr>
      <w:r>
        <w:rPr>
          <w:rFonts w:ascii="Times New Roman" w:hAnsi="Times New Roman" w:cs="Times New Roman"/>
        </w:rPr>
        <w:t xml:space="preserve">2. The cookies we use</w:t>
      </w:r>
    </w:p>
    <w:p>
      <w:pPr>
        <w:jc w:val="both"/>
      </w:pPr>
      <w:r>
        <w:rPr>
          <w:rFonts w:ascii="Consolas" w:hAnsi="Consolas" w:cs="Times New Roman"/>
        </w:rPr>
        <w:t xml:space="preserve">[ENGINEERING and MARKETING: complete from the GTM export and a production cookie scan (EV-212). One row per cookie. Remove any category that is not used. Cookie lifetimes must not exceed the periods in Privacy Policy §11.]</w:t>
      </w:r>
    </w:p>
    <w:tbl>
      <w:tblPr>
        <w:tblStyle w:val="TableGrid"/>
        <w:tblW w:w="9359"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1337"/>
        <w:gridCol w:w="1337"/>
        <w:gridCol w:w="1337"/>
        <w:gridCol w:w="1337"/>
        <w:gridCol w:w="1337"/>
        <w:gridCol w:w="1337"/>
        <w:gridCol w:w="1337"/>
      </w:tblGrid>
      <w:tr>
        <w:trPr>
          <w:tblHeader/>
          <w:cantSplit/>
        </w:trPr>
        <w:tc>
          <w:tcPr>
            <w:tcW w:w="1337" w:type="dxa"/>
            <w:shd w:val="clear" w:color="auto" w:fill="D9D9D9"/>
          </w:tcPr>
          <w:p>
            <w:pPr>
              <w:spacing w:after="40"/>
            </w:pPr>
            <w:r>
              <w:rPr>
                <w:rFonts w:ascii="Times New Roman" w:hAnsi="Times New Roman" w:cs="Times New Roman"/>
                <w:b/>
                <w:bCs/>
                <w:sz w:val="17"/>
                <w:szCs w:val="17"/>
              </w:rPr>
              <w:t xml:space="preserve">Category</w:t>
            </w:r>
          </w:p>
        </w:tc>
        <w:tc>
          <w:tcPr>
            <w:tcW w:w="1337" w:type="dxa"/>
            <w:shd w:val="clear" w:color="auto" w:fill="D9D9D9"/>
          </w:tcPr>
          <w:p>
            <w:pPr>
              <w:spacing w:after="40"/>
            </w:pPr>
            <w:r>
              <w:rPr>
                <w:rFonts w:ascii="Times New Roman" w:hAnsi="Times New Roman" w:cs="Times New Roman"/>
                <w:b/>
                <w:bCs/>
                <w:sz w:val="17"/>
                <w:szCs w:val="17"/>
              </w:rPr>
              <w:t xml:space="preserve">Purpose</w:t>
            </w:r>
          </w:p>
        </w:tc>
        <w:tc>
          <w:tcPr>
            <w:tcW w:w="1337" w:type="dxa"/>
            <w:shd w:val="clear" w:color="auto" w:fill="D9D9D9"/>
          </w:tcPr>
          <w:p>
            <w:pPr>
              <w:spacing w:after="40"/>
            </w:pPr>
            <w:r>
              <w:rPr>
                <w:rFonts w:ascii="Times New Roman" w:hAnsi="Times New Roman" w:cs="Times New Roman"/>
                <w:b/>
                <w:bCs/>
                <w:sz w:val="17"/>
                <w:szCs w:val="17"/>
              </w:rPr>
              <w:t xml:space="preserve">Cookie name</w:t>
            </w:r>
          </w:p>
        </w:tc>
        <w:tc>
          <w:tcPr>
            <w:tcW w:w="1337" w:type="dxa"/>
            <w:shd w:val="clear" w:color="auto" w:fill="D9D9D9"/>
          </w:tcPr>
          <w:p>
            <w:pPr>
              <w:spacing w:after="40"/>
            </w:pPr>
            <w:r>
              <w:rPr>
                <w:rFonts w:ascii="Times New Roman" w:hAnsi="Times New Roman" w:cs="Times New Roman"/>
                <w:b/>
                <w:bCs/>
                <w:sz w:val="17"/>
                <w:szCs w:val="17"/>
              </w:rPr>
              <w:t xml:space="preserve">Provider (and link to its privacy notice)</w:t>
            </w:r>
          </w:p>
        </w:tc>
        <w:tc>
          <w:tcPr>
            <w:tcW w:w="1337" w:type="dxa"/>
            <w:shd w:val="clear" w:color="auto" w:fill="D9D9D9"/>
          </w:tcPr>
          <w:p>
            <w:pPr>
              <w:spacing w:after="40"/>
            </w:pPr>
            <w:r>
              <w:rPr>
                <w:rFonts w:ascii="Times New Roman" w:hAnsi="Times New Roman" w:cs="Times New Roman"/>
                <w:b/>
                <w:bCs/>
                <w:sz w:val="17"/>
                <w:szCs w:val="17"/>
              </w:rPr>
              <w:t xml:space="preserve">Duration</w:t>
            </w:r>
          </w:p>
        </w:tc>
        <w:tc>
          <w:tcPr>
            <w:tcW w:w="1337" w:type="dxa"/>
            <w:shd w:val="clear" w:color="auto" w:fill="D9D9D9"/>
          </w:tcPr>
          <w:p>
            <w:pPr>
              <w:spacing w:after="40"/>
            </w:pPr>
            <w:r>
              <w:rPr>
                <w:rFonts w:ascii="Times New Roman" w:hAnsi="Times New Roman" w:cs="Times New Roman"/>
                <w:b/>
                <w:bCs/>
                <w:sz w:val="17"/>
                <w:szCs w:val="17"/>
              </w:rPr>
              <w:t xml:space="preserve">European Economic Area</w:t>
            </w:r>
          </w:p>
        </w:tc>
        <w:tc>
          <w:tcPr>
            <w:tcW w:w="1337" w:type="dxa"/>
            <w:shd w:val="clear" w:color="auto" w:fill="D9D9D9"/>
          </w:tcPr>
          <w:p>
            <w:pPr>
              <w:spacing w:after="40"/>
            </w:pPr>
            <w:r>
              <w:rPr>
                <w:rFonts w:ascii="Times New Roman" w:hAnsi="Times New Roman" w:cs="Times New Roman"/>
                <w:b/>
                <w:bCs/>
                <w:sz w:val="17"/>
                <w:szCs w:val="17"/>
              </w:rPr>
              <w:t xml:space="preserve">United Kingdom</w:t>
            </w:r>
          </w:p>
        </w:tc>
      </w:tr>
      <w:tr>
        <w:trPr>
          <w:cantSplit/>
        </w:trPr>
        <w:tc>
          <w:tcPr>
            <w:tcW w:w="1337" w:type="dxa"/>
          </w:tcPr>
          <w:p>
            <w:pPr>
              <w:spacing w:after="40"/>
            </w:pPr>
            <w:r>
              <w:rPr>
                <w:rFonts w:ascii="Times New Roman" w:hAnsi="Times New Roman" w:cs="Times New Roman"/>
                <w:sz w:val="17"/>
                <w:szCs w:val="17"/>
              </w:rPr>
              <w:t xml:space="preserve">Strictly necessary</w:t>
            </w:r>
          </w:p>
        </w:tc>
        <w:tc>
          <w:tcPr>
            <w:tcW w:w="1337" w:type="dxa"/>
          </w:tcPr>
          <w:p>
            <w:pPr>
              <w:spacing w:after="40"/>
            </w:pPr>
            <w:r>
              <w:rPr>
                <w:rFonts w:ascii="Times New Roman" w:hAnsi="Times New Roman" w:cs="Times New Roman"/>
                <w:sz w:val="17"/>
                <w:szCs w:val="17"/>
              </w:rPr>
              <w:t xml:space="preserve">Security, checkout, remembering your cookie choices </w:t>
            </w:r>
            <w:r>
              <w:rPr>
                <w:rFonts w:ascii="Consolas" w:hAnsi="Consolas" w:cs="Times New Roman"/>
                <w:sz w:val="17"/>
                <w:szCs w:val="17"/>
              </w:rPr>
              <w:t xml:space="preserve">[ENGINEERING: and sign-in, if the website has sign-in]</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Times New Roman" w:hAnsi="Times New Roman" w:cs="Times New Roman"/>
                <w:sz w:val="17"/>
                <w:szCs w:val="17"/>
              </w:rPr>
              <w:t xml:space="preserve">HidzoVPN / </w:t>
            </w: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Times New Roman" w:hAnsi="Times New Roman" w:cs="Times New Roman"/>
                <w:sz w:val="17"/>
                <w:szCs w:val="17"/>
              </w:rPr>
              <w:t xml:space="preserve">No consent needed</w:t>
            </w:r>
          </w:p>
        </w:tc>
        <w:tc>
          <w:tcPr>
            <w:tcW w:w="1337" w:type="dxa"/>
          </w:tcPr>
          <w:p>
            <w:pPr>
              <w:spacing w:after="40"/>
            </w:pPr>
            <w:r>
              <w:rPr>
                <w:rFonts w:ascii="Times New Roman" w:hAnsi="Times New Roman" w:cs="Times New Roman"/>
                <w:sz w:val="17"/>
                <w:szCs w:val="17"/>
              </w:rPr>
              <w:t xml:space="preserve">No consent needed</w:t>
            </w:r>
          </w:p>
        </w:tc>
      </w:tr>
      <w:tr>
        <w:trPr>
          <w:cantSplit/>
        </w:trPr>
        <w:tc>
          <w:tcPr>
            <w:tcW w:w="1337" w:type="dxa"/>
          </w:tcPr>
          <w:p>
            <w:pPr>
              <w:spacing w:after="40"/>
            </w:pPr>
            <w:r>
              <w:rPr>
                <w:rFonts w:ascii="Times New Roman" w:hAnsi="Times New Roman" w:cs="Times New Roman"/>
                <w:sz w:val="17"/>
                <w:szCs w:val="17"/>
              </w:rPr>
              <w:t xml:space="preserve">Preferences</w:t>
            </w:r>
          </w:p>
        </w:tc>
        <w:tc>
          <w:tcPr>
            <w:tcW w:w="1337" w:type="dxa"/>
          </w:tcPr>
          <w:p>
            <w:pPr>
              <w:spacing w:after="40"/>
            </w:pPr>
            <w:r>
              <w:rPr>
                <w:rFonts w:ascii="Times New Roman" w:hAnsi="Times New Roman" w:cs="Times New Roman"/>
                <w:sz w:val="17"/>
                <w:szCs w:val="17"/>
              </w:rPr>
              <w:t xml:space="preserve">Remembering your language</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[COUNSEL]</w:t>
            </w:r>
          </w:p>
        </w:tc>
        <w:tc>
          <w:tcPr>
            <w:tcW w:w="1337" w:type="dxa"/>
          </w:tcPr>
          <w:p>
            <w:pPr>
              <w:spacing w:after="40"/>
            </w:pPr>
            <w:r>
              <w:rPr>
                <w:rFonts w:ascii="Consolas" w:hAnsi="Consolas" w:cs="Times New Roman"/>
                <w:sz w:val="17"/>
                <w:szCs w:val="17"/>
              </w:rPr>
              <w:t xml:space="preserve">[COUNSEL: PECR Sch. A1 para. 6]</w:t>
            </w:r>
          </w:p>
        </w:tc>
      </w:tr>
      <w:tr>
        <w:trPr>
          <w:cantSplit/>
        </w:trPr>
        <w:tc>
          <w:tcPr>
            <w:tcW w:w="1337" w:type="dxa"/>
          </w:tcPr>
          <w:p>
            <w:pPr>
              <w:spacing w:after="40"/>
            </w:pPr>
            <w:r>
              <w:rPr>
                <w:rFonts w:ascii="Times New Roman" w:hAnsi="Times New Roman" w:cs="Times New Roman"/>
                <w:sz w:val="17"/>
                <w:szCs w:val="17"/>
              </w:rPr>
              <w:t xml:space="preserve">Analytics</w:t>
            </w:r>
          </w:p>
        </w:tc>
        <w:tc>
          <w:tcPr>
            <w:tcW w:w="1337" w:type="dxa"/>
          </w:tcPr>
          <w:p>
            <w:pPr>
              <w:spacing w:after="40"/>
            </w:pPr>
            <w:r>
              <w:rPr>
                <w:rFonts w:ascii="Times New Roman" w:hAnsi="Times New Roman" w:cs="Times New Roman"/>
                <w:sz w:val="17"/>
                <w:szCs w:val="17"/>
              </w:rPr>
              <w:t xml:space="preserve">Understanding how the website is used</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Times New Roman" w:hAnsi="Times New Roman" w:cs="Times New Roman"/>
                <w:sz w:val="17"/>
                <w:szCs w:val="17"/>
              </w:rPr>
              <w:t xml:space="preserve">Consent</w:t>
            </w:r>
          </w:p>
        </w:tc>
        <w:tc>
          <w:tcPr>
            <w:tcW w:w="1337" w:type="dxa"/>
          </w:tcPr>
          <w:p>
            <w:pPr>
              <w:spacing w:after="40"/>
            </w:pPr>
            <w:r>
              <w:rPr>
                <w:rFonts w:ascii="Consolas" w:hAnsi="Consolas" w:cs="Times New Roman"/>
                <w:sz w:val="17"/>
                <w:szCs w:val="17"/>
              </w:rPr>
              <w:t xml:space="preserve">[COUNSEL: opt-out under PECR Sch. A1 para. 5, or consent as a policy choice]</w:t>
            </w:r>
          </w:p>
        </w:tc>
      </w:tr>
      <w:tr>
        <w:trPr>
          <w:cantSplit/>
        </w:trPr>
        <w:tc>
          <w:tcPr>
            <w:tcW w:w="1337" w:type="dxa"/>
          </w:tcPr>
          <w:p>
            <w:pPr>
              <w:spacing w:after="40"/>
            </w:pPr>
            <w:r>
              <w:rPr>
                <w:rFonts w:ascii="Times New Roman" w:hAnsi="Times New Roman" w:cs="Times New Roman"/>
                <w:sz w:val="17"/>
                <w:szCs w:val="17"/>
              </w:rPr>
              <w:t xml:space="preserve">Advertising and measurement</w:t>
            </w:r>
          </w:p>
        </w:tc>
        <w:tc>
          <w:tcPr>
            <w:tcW w:w="1337" w:type="dxa"/>
          </w:tcPr>
          <w:p>
            <w:pPr>
              <w:spacing w:after="40"/>
            </w:pPr>
            <w:r>
              <w:rPr>
                <w:rFonts w:ascii="Times New Roman" w:hAnsi="Times New Roman" w:cs="Times New Roman"/>
                <w:sz w:val="17"/>
                <w:szCs w:val="17"/>
              </w:rPr>
              <w:t xml:space="preserve">Measuring our advertising campaigns</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Consolas" w:hAnsi="Consolas" w:cs="Times New Roman"/>
                <w:sz w:val="17"/>
                <w:szCs w:val="17"/>
              </w:rPr>
              <w:t xml:space="preserve">[ ]</w:t>
            </w:r>
          </w:p>
        </w:tc>
        <w:tc>
          <w:tcPr>
            <w:tcW w:w="1337" w:type="dxa"/>
          </w:tcPr>
          <w:p>
            <w:pPr>
              <w:spacing w:after="40"/>
            </w:pPr>
            <w:r>
              <w:rPr>
                <w:rFonts w:ascii="Times New Roman" w:hAnsi="Times New Roman" w:cs="Times New Roman"/>
                <w:sz w:val="17"/>
                <w:szCs w:val="17"/>
              </w:rPr>
              <w:t xml:space="preserve">Consent</w:t>
            </w:r>
          </w:p>
        </w:tc>
        <w:tc>
          <w:tcPr>
            <w:tcW w:w="1337" w:type="dxa"/>
          </w:tcPr>
          <w:p>
            <w:pPr>
              <w:spacing w:after="40"/>
            </w:pPr>
            <w:r>
              <w:rPr>
                <w:rFonts w:ascii="Times New Roman" w:hAnsi="Times New Roman" w:cs="Times New Roman"/>
                <w:sz w:val="17"/>
                <w:szCs w:val="17"/>
              </w:rPr>
              <w:t xml:space="preserve">Consent</w:t>
            </w:r>
          </w:p>
        </w:tc>
      </w:tr>
    </w:tbl>
    <w:p>
      <w:pPr>
        <w:spacing w:after="60"/>
      </w:pPr>
    </w:p>
    <w:p>
      <w:pPr>
        <w:jc w:val="both"/>
      </w:pPr>
      <w:r>
        <w:rPr>
          <w:rFonts w:ascii="Times New Roman" w:hAnsi="Times New Roman" w:cs="Times New Roman"/>
        </w:rPr>
        <w:t xml:space="preserve">Some cookies are set by other companies, which may use the information under their own privacy notices. For more about who receives information and international transfers, see Sections 9 and 10 of our Privacy Policy.</w:t>
      </w:r>
    </w:p>
    <w:p>
      <w:pPr>
        <w:pStyle w:val="Heading2"/>
        <w:keepNext/>
      </w:pPr>
      <w:r>
        <w:rPr>
          <w:rFonts w:ascii="Times New Roman" w:hAnsi="Times New Roman" w:cs="Times New Roman"/>
        </w:rPr>
        <w:t xml:space="preserve">3. Your choices</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Cookie settings:</w:t>
      </w:r>
      <w:r>
        <w:rPr>
          <w:rFonts w:ascii="Times New Roman" w:hAnsi="Times New Roman" w:cs="Times New Roman"/>
        </w:rPr>
        <w:t xml:space="preserve"> you can accept or reject non-essential cookies, and change your choice at any time, using </w:t>
      </w:r>
      <w:r>
        <w:rPr>
          <w:rFonts w:ascii="Consolas" w:hAnsi="Consolas" w:cs="Times New Roman"/>
        </w:rPr>
        <w:t xml:space="preserve">[ENGINEERING: "Cookie settings" link in the website footer]</w:t>
      </w:r>
      <w:r>
        <w:rPr>
          <w:rFonts w:ascii="Times New Roman" w:hAnsi="Times New Roman" w:cs="Times New Roman"/>
        </w:rPr>
        <w:t xml:space="preserve">. </w:t>
      </w:r>
      <w:r>
        <w:rPr>
          <w:rFonts w:ascii="Consolas" w:hAnsi="Consolas" w:cs="Times New Roman"/>
        </w:rPr>
        <w:t xml:space="preserve">[ENGINEERING: the first layer offers Accept and Reject with equal prominence]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Your Privacy Choices:</w:t>
      </w:r>
      <w:r>
        <w:rPr>
          <w:rFonts w:ascii="Times New Roman" w:hAnsi="Times New Roman" w:cs="Times New Roman"/>
        </w:rPr>
        <w:t xml:space="preserve"> </w:t>
      </w:r>
      <w:r>
        <w:rPr>
          <w:rFonts w:ascii="Consolas" w:hAnsi="Consolas" w:cs="Times New Roman"/>
        </w:rPr>
        <w:t xml:space="preserve">[OPEN: link]</w:t>
      </w:r>
      <w:r>
        <w:rPr>
          <w:rFonts w:ascii="Times New Roman" w:hAnsi="Times New Roman" w:cs="Times New Roman"/>
        </w:rPr>
        <w:t xml:space="preserve"> — applies where U.S. state law gives you a right to opt out of the sale or sharing of personal information or of targeted advertising </w:t>
      </w:r>
      <w:r>
        <w:rPr>
          <w:rFonts w:ascii="Consolas" w:hAnsi="Consolas" w:cs="Times New Roman"/>
        </w:rPr>
        <w:t xml:space="preserve">[COUNSEL: which state laws apply]</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Global Privacy Control:</w:t>
      </w:r>
      <w:r>
        <w:rPr>
          <w:rFonts w:ascii="Times New Roman" w:hAnsi="Times New Roman" w:cs="Times New Roman"/>
        </w:rPr>
        <w:t xml:space="preserve"> if your browser sends a Global Privacy Control signal, we treat it as a request to opt out of the sale or sharing of your personal information and of targeted advertising for that browser or device and, if we know who you are, for your account, and we show on the website that your signal has been honored </w:t>
      </w:r>
      <w:r>
        <w:rPr>
          <w:rFonts w:ascii="Consolas" w:hAnsi="Consolas" w:cs="Times New Roman"/>
        </w:rPr>
        <w:t xml:space="preserve">[ENGINEERING: confirm; status display]</w:t>
      </w:r>
      <w:r>
        <w:rPr>
          <w:rFonts w:ascii="Times New Roman" w:hAnsi="Times New Roman" w:cs="Times New Roman"/>
        </w:rPr>
        <w:t xml:space="preserve"> </w:t>
      </w:r>
      <w:r>
        <w:rPr>
          <w:rFonts w:ascii="Consolas" w:hAnsi="Consolas" w:cs="Times New Roman"/>
        </w:rPr>
        <w:t xml:space="preserve">[COUNSEL: which state laws apply — EV-233]</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Browser settings:</w:t>
      </w:r>
      <w:r>
        <w:rPr>
          <w:rFonts w:ascii="Times New Roman" w:hAnsi="Times New Roman" w:cs="Times New Roman"/>
        </w:rPr>
        <w:t xml:space="preserve"> you can also block or delete cookies in your browser. If you block strictly necessary cookies, parts of the website, such as checkout, may not work.</w:t>
      </w:r>
    </w:p>
    <w:p>
      <w:pPr>
        <w:pStyle w:val="Heading2"/>
        <w:keepNext/>
      </w:pPr>
      <w:r>
        <w:rPr>
          <w:rFonts w:ascii="Times New Roman" w:hAnsi="Times New Roman" w:cs="Times New Roman"/>
        </w:rPr>
        <w:t xml:space="preserve">4. Changes</w:t>
      </w:r>
    </w:p>
    <w:p>
      <w:pPr>
        <w:jc w:val="both"/>
      </w:pPr>
      <w:r>
        <w:rPr>
          <w:rFonts w:ascii="Times New Roman" w:hAnsi="Times New Roman" w:cs="Times New Roman"/>
        </w:rPr>
        <w:t xml:space="preserve">We update this notice when we add or change a category of cookies. The "Last updated" date at the top shows the latest change. If we add cookies that need consent, we will ask for your consent again.</w:t>
      </w:r>
    </w:p>
    <w:p>
      <w:pPr>
        <w:pStyle w:val="Heading2"/>
        <w:keepNext/>
      </w:pPr>
      <w:r>
        <w:rPr>
          <w:rFonts w:ascii="Times New Roman" w:hAnsi="Times New Roman" w:cs="Times New Roman"/>
        </w:rPr>
        <w:t xml:space="preserve">5. Contact</w:t>
      </w:r>
    </w:p>
    <w:p>
      <w:pPr>
        <w:jc w:val="both"/>
      </w:pPr>
      <w:r>
        <w:rPr>
          <w:rFonts w:ascii="Consolas" w:hAnsi="Consolas" w:cs="Times New Roman"/>
        </w:rPr>
        <w:t xml:space="preserve">[OPEN: privacy@hidzovpn.com]</w:t>
      </w:r>
      <w:r>
        <w:rPr>
          <w:rFonts w:ascii="Times New Roman" w:hAnsi="Times New Roman" w:cs="Times New Roman"/>
        </w:rPr>
        <w:t xml:space="preserve"> · See also our Privacy Policy. This notice is written in English; if a translation differs, the English version prevails unless the law of your place of residence requires otherwise.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Sources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Consent before non-essential storage/access (EEA)</w:t>
            </w:r>
          </w:p>
        </w:tc>
        <w:tc>
          <w:tcPr>
            <w:tcW w:w="3120" w:type="dxa"/>
          </w:tcPr>
          <w:p>
            <w:pPr>
              <w:spacing w:after="40"/>
            </w:pPr>
            <w:r>
              <w:rPr>
                <w:rFonts w:ascii="Times New Roman" w:hAnsi="Times New Roman" w:cs="Times New Roman"/>
                <w:sz w:val="17"/>
                <w:szCs w:val="17"/>
              </w:rPr>
              <w:t xml:space="preserve">ePrivacy Directive 2002/58/EC Art. 5(3)</w:t>
            </w:r>
          </w:p>
        </w:tc>
        <w:tc>
          <w:tcPr>
            <w:tcW w:w="3120" w:type="dxa"/>
          </w:tcPr>
          <w:p>
            <w:pPr>
              <w:spacing w:after="40"/>
            </w:pPr>
            <w:r>
              <w:rPr>
                <w:rFonts w:ascii="Consolas" w:hAnsi="Consolas" w:cs="Times New Roman"/>
                <w:sz w:val="17"/>
                <w:szCs w:val="17"/>
              </w:rPr>
              <w:t xml:space="preserve">[VERIFY: EUR-Lex not opened]</w:t>
            </w:r>
          </w:p>
        </w:tc>
      </w:tr>
      <w:tr>
        <w:trPr>
          <w:cantSplit/>
        </w:trPr>
        <w:tc>
          <w:tcPr>
            <w:tcW w:w="3120" w:type="dxa"/>
          </w:tcPr>
          <w:p>
            <w:pPr>
              <w:spacing w:after="40"/>
            </w:pPr>
            <w:r>
              <w:rPr>
                <w:rFonts w:ascii="Times New Roman" w:hAnsi="Times New Roman" w:cs="Times New Roman"/>
                <w:sz w:val="17"/>
                <w:szCs w:val="17"/>
              </w:rPr>
              <w:t xml:space="preserve">UK rules and exceptions (statistics; appearance/functionality) — only with clear information, a free and simple way to object, and no sharing except to help improve the service</w:t>
            </w:r>
          </w:p>
        </w:tc>
        <w:tc>
          <w:tcPr>
            <w:tcW w:w="3120" w:type="dxa"/>
          </w:tcPr>
          <w:p>
            <w:pPr>
              <w:spacing w:after="40"/>
            </w:pPr>
            <w:r>
              <w:rPr>
                <w:rFonts w:ascii="Times New Roman" w:hAnsi="Times New Roman" w:cs="Times New Roman"/>
                <w:sz w:val="17"/>
                <w:szCs w:val="17"/>
              </w:rPr>
              <w:t xml:space="preserve">PECR reg. 6 and Sch. A1 paras. 4–6 as substituted by the Data (Use and Access) Act 2025 (in force 5 Feb 2026, S.I. 2026/82)</w:t>
            </w:r>
          </w:p>
        </w:tc>
        <w:tc>
          <w:tcPr>
            <w:tcW w:w="3120" w:type="dxa"/>
          </w:tcPr>
          <w:p>
            <w:pPr>
              <w:spacing w:after="40"/>
            </w:pPr>
            <w:r>
              <w:rPr>
                <w:rFonts w:ascii="Times New Roman" w:hAnsi="Times New Roman" w:cs="Times New Roman"/>
                <w:sz w:val="17"/>
                <w:szCs w:val="17"/>
              </w:rPr>
              <w:t xml:space="preserve">Reported (EV-237, EV-256)</w:t>
            </w:r>
          </w:p>
        </w:tc>
      </w:tr>
      <w:tr>
        <w:trPr>
          <w:cantSplit/>
        </w:trPr>
        <w:tc>
          <w:tcPr>
            <w:tcW w:w="3120" w:type="dxa"/>
          </w:tcPr>
          <w:p>
            <w:pPr>
              <w:spacing w:after="40"/>
            </w:pPr>
            <w:r>
              <w:rPr>
                <w:rFonts w:ascii="Times New Roman" w:hAnsi="Times New Roman" w:cs="Times New Roman"/>
                <w:sz w:val="17"/>
                <w:szCs w:val="17"/>
              </w:rPr>
              <w:t xml:space="preserve">GPC scope (browser, device, known account); display that the signal was honored; cookie banner not a valid sale/sharing opt-out</w:t>
            </w:r>
          </w:p>
        </w:tc>
        <w:tc>
          <w:tcPr>
            <w:tcW w:w="3120" w:type="dxa"/>
          </w:tcPr>
          <w:p>
            <w:pPr>
              <w:spacing w:after="40"/>
            </w:pPr>
            <w:r>
              <w:rPr>
                <w:rFonts w:ascii="Times New Roman" w:hAnsi="Times New Roman" w:cs="Times New Roman"/>
                <w:sz w:val="17"/>
                <w:szCs w:val="17"/>
              </w:rPr>
              <w:t xml:space="preserve">11 CCR §§7025(c)(1), (c)(6), 7026(a)(4) (regulations eff. 1 Jan 2026)</w:t>
            </w:r>
          </w:p>
        </w:tc>
        <w:tc>
          <w:tcPr>
            <w:tcW w:w="3120" w:type="dxa"/>
          </w:tcPr>
          <w:p>
            <w:pPr>
              <w:spacing w:after="40"/>
            </w:pPr>
            <w:r>
              <w:rPr>
                <w:rFonts w:ascii="Times New Roman" w:hAnsi="Times New Roman" w:cs="Times New Roman"/>
                <w:sz w:val="17"/>
                <w:szCs w:val="17"/>
              </w:rPr>
              <w:t xml:space="preserve">Verified first-hand (EV-253)</w:t>
            </w:r>
          </w:p>
        </w:tc>
      </w:tr>
      <w:tr>
        <w:trPr>
          <w:cantSplit/>
        </w:trPr>
        <w:tc>
          <w:tcPr>
            <w:tcW w:w="3120" w:type="dxa"/>
          </w:tcPr>
          <w:p>
            <w:pPr>
              <w:spacing w:after="40"/>
            </w:pPr>
            <w:r>
              <w:rPr>
                <w:rFonts w:ascii="Times New Roman" w:hAnsi="Times New Roman" w:cs="Times New Roman"/>
                <w:sz w:val="17"/>
                <w:szCs w:val="17"/>
              </w:rPr>
              <w:t xml:space="preserve">Opt-out link; notice at collection</w:t>
            </w:r>
          </w:p>
        </w:tc>
        <w:tc>
          <w:tcPr>
            <w:tcW w:w="3120" w:type="dxa"/>
          </w:tcPr>
          <w:p>
            <w:pPr>
              <w:spacing w:after="40"/>
            </w:pPr>
            <w:r>
              <w:rPr>
                <w:rFonts w:ascii="Times New Roman" w:hAnsi="Times New Roman" w:cs="Times New Roman"/>
                <w:sz w:val="17"/>
                <w:szCs w:val="17"/>
              </w:rPr>
              <w:t xml:space="preserve">11 CCR §§7012, 7026</w:t>
            </w:r>
          </w:p>
        </w:tc>
        <w:tc>
          <w:tcPr>
            <w:tcW w:w="3120" w:type="dxa"/>
          </w:tcPr>
          <w:p>
            <w:pPr>
              <w:spacing w:after="40"/>
            </w:pPr>
            <w:r>
              <w:rPr>
                <w:rFonts w:ascii="Times New Roman" w:hAnsi="Times New Roman" w:cs="Times New Roman"/>
                <w:sz w:val="17"/>
                <w:szCs w:val="17"/>
              </w:rPr>
              <w:t xml:space="preserve">§7026(a)(4) Verified (EV-253); §7012 </w:t>
            </w: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Google Ads/GA tags for EEA/UK/CH users</w:t>
            </w:r>
          </w:p>
        </w:tc>
        <w:tc>
          <w:tcPr>
            <w:tcW w:w="3120" w:type="dxa"/>
          </w:tcPr>
          <w:p>
            <w:pPr>
              <w:spacing w:after="40"/>
            </w:pPr>
            <w:r>
              <w:rPr>
                <w:rFonts w:ascii="Times New Roman" w:hAnsi="Times New Roman" w:cs="Times New Roman"/>
                <w:sz w:val="17"/>
                <w:szCs w:val="17"/>
              </w:rPr>
              <w:t xml:space="preserve">Google EU User Consent Policy; Consent Mode</w:t>
            </w:r>
          </w:p>
        </w:tc>
        <w:tc>
          <w:tcPr>
            <w:tcW w:w="3120" w:type="dxa"/>
          </w:tcPr>
          <w:p>
            <w:pPr>
              <w:spacing w:after="40"/>
            </w:pPr>
            <w:r>
              <w:rPr>
                <w:rFonts w:ascii="Consolas" w:hAnsi="Consolas" w:cs="Times New Roman"/>
                <w:sz w:val="17"/>
                <w:szCs w:val="17"/>
              </w:rPr>
              <w:t xml:space="preserve">[VERIFY]</w:t>
            </w:r>
            <w:r>
              <w:rPr>
                <w:rFonts w:ascii="Times New Roman" w:hAnsi="Times New Roman" w:cs="Times New Roman"/>
                <w:sz w:val="17"/>
                <w:szCs w:val="17"/>
              </w:rPr>
              <w:t xml:space="preserve">; </w:t>
            </w:r>
            <w:r>
              <w:rPr>
                <w:rFonts w:ascii="Consolas" w:hAnsi="Consolas" w:cs="Times New Roman"/>
                <w:sz w:val="17"/>
                <w:szCs w:val="17"/>
              </w:rPr>
              <w:t xml:space="preserve">[COUNSEL: whether GTM may load before consent]</w:t>
            </w:r>
          </w:p>
        </w:tc>
      </w:tr>
      <w:tr>
        <w:trPr>
          <w:cantSplit/>
        </w:trPr>
        <w:tc>
          <w:tcPr>
            <w:tcW w:w="3120" w:type="dxa"/>
          </w:tcPr>
          <w:p>
            <w:pPr>
              <w:spacing w:after="40"/>
            </w:pPr>
            <w:r>
              <w:rPr>
                <w:rFonts w:ascii="Times New Roman" w:hAnsi="Times New Roman" w:cs="Times New Roman"/>
                <w:sz w:val="17"/>
                <w:szCs w:val="17"/>
              </w:rPr>
              <w:t xml:space="preserve">Wiretap and pen-register claims over website tags</w:t>
            </w:r>
          </w:p>
        </w:tc>
        <w:tc>
          <w:tcPr>
            <w:tcW w:w="3120" w:type="dxa"/>
          </w:tcPr>
          <w:p>
            <w:pPr>
              <w:spacing w:after="40"/>
            </w:pPr>
            <w:r>
              <w:rPr>
                <w:rFonts w:ascii="Times New Roman" w:hAnsi="Times New Roman" w:cs="Times New Roman"/>
                <w:sz w:val="17"/>
                <w:szCs w:val="17"/>
              </w:rPr>
              <w:t xml:space="preserve">Cal. Penal Code §§631(a), 638.51; SB 690 (enrolled; would leave §638.51 website/app claims to the Attorney General; §631 unaffected); Fla. Stat. §§934.03, 934.10</w:t>
            </w:r>
          </w:p>
        </w:tc>
        <w:tc>
          <w:tcPr>
            <w:tcW w:w="3120" w:type="dxa"/>
          </w:tcPr>
          <w:p>
            <w:pPr>
              <w:spacing w:after="40"/>
            </w:pPr>
            <w:r>
              <w:rPr>
                <w:rFonts w:ascii="Times New Roman" w:hAnsi="Times New Roman" w:cs="Times New Roman"/>
                <w:sz w:val="17"/>
                <w:szCs w:val="17"/>
              </w:rPr>
              <w:t xml:space="preserve">SB 690 status Reported (EV-258); Florida </w:t>
            </w:r>
            <w:r>
              <w:rPr>
                <w:rFonts w:ascii="Consolas" w:hAnsi="Consolas" w:cs="Times New Roman"/>
                <w:sz w:val="17"/>
                <w:szCs w:val="17"/>
              </w:rPr>
              <w:t xml:space="preserve">[VERIFY]</w:t>
            </w:r>
            <w:r>
              <w:rPr>
                <w:rFonts w:ascii="Times New Roman" w:hAnsi="Times New Roman" w:cs="Times New Roman"/>
                <w:sz w:val="17"/>
                <w:szCs w:val="17"/>
              </w:rPr>
              <w:t xml:space="preserve">; trend Level C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Correction of CLM-021</w:t>
            </w:r>
          </w:p>
        </w:tc>
        <w:tc>
          <w:tcPr>
            <w:tcW w:w="3120" w:type="dxa"/>
          </w:tcPr>
          <w:p>
            <w:pPr>
              <w:spacing w:after="40"/>
            </w:pPr>
            <w:r>
              <w:rPr>
                <w:rFonts w:ascii="Times New Roman" w:hAnsi="Times New Roman" w:cs="Times New Roman"/>
                <w:sz w:val="17"/>
                <w:szCs w:val="17"/>
              </w:rPr>
              <w:t xml:space="preserve">Claims register</w:t>
            </w:r>
          </w:p>
        </w:tc>
        <w:tc>
          <w:tcPr>
            <w:tcW w:w="3120" w:type="dxa"/>
          </w:tcPr>
          <w:p>
            <w:pPr>
              <w:spacing w:after="40"/>
            </w:pPr>
            <w:r>
              <w:rPr>
                <w:rFonts w:ascii="Times New Roman" w:hAnsi="Times New Roman" w:cs="Times New Roman"/>
                <w:sz w:val="17"/>
                <w:szCs w:val="17"/>
              </w:rPr>
              <w:t xml:space="preserve">Internal</w:t>
            </w:r>
          </w:p>
        </w:tc>
      </w:tr>
    </w:tbl>
    <w:p>
      <w:pPr>
        <w:spacing w:after="60"/>
      </w:pPr>
    </w:p>
    <w:p>
      <w:pPr>
        <w:pStyle w:val="Heading3"/>
        <w:keepNext/>
      </w:pPr>
      <w:r>
        <w:rPr>
          <w:rFonts w:ascii="Times New Roman" w:hAnsi="Times New Roman" w:cs="Times New Roman"/>
        </w:rPr>
        <w:t xml:space="preserve">C.2 Prerequisites before publication (in order)</w:t>
      </w:r>
    </w:p>
    <w:p>
      <w:pPr>
        <w:spacing w:after="60"/>
        <w:ind w:left="720" w:hanging="360"/>
      </w:pPr>
      <w:r>
        <w:rPr>
          <w:rFonts w:ascii="Times New Roman" w:hAnsi="Times New Roman" w:cs="Times New Roman"/>
        </w:rPr>
        <w:t xml:space="preserve">1.	</w:t>
      </w:r>
      <w:r>
        <w:rPr>
          <w:rFonts w:ascii="Times New Roman" w:hAnsi="Times New Roman" w:cs="Times New Roman"/>
        </w:rPr>
        <w:t xml:space="preserve">Snapshot hidzovpn.com with the current GTM container (PDF, HTML, HAR, SHA-256) and export the container into 03-Evidence/snapshots </w:t>
      </w:r>
      <w:r>
        <w:rPr>
          <w:rFonts w:ascii="Times New Roman" w:hAnsi="Times New Roman" w:cs="Times New Roman"/>
          <w:b/>
          <w:bCs/>
        </w:rPr>
        <w:t xml:space="preserve">before</w:t>
      </w:r>
      <w:r>
        <w:rPr>
          <w:rFonts w:ascii="Times New Roman" w:hAnsi="Times New Roman" w:cs="Times New Roman"/>
        </w:rPr>
        <w:t xml:space="preserve"> any tag or consent change </w:t>
      </w:r>
      <w:r>
        <w:rPr>
          <w:rFonts w:ascii="Consolas" w:hAnsi="Consolas" w:cs="Times New Roman"/>
        </w:rPr>
        <w:t xml:space="preserve">[COUNSEL: preservation]</w:t>
      </w:r>
      <w:r>
        <w:rPr>
          <w:rFonts w:ascii="Times New Roman" w:hAnsi="Times New Roman" w:cs="Times New Roman"/>
        </w:rPr>
        <w:t xml:space="preserve">.</w:t>
      </w:r>
    </w:p>
    <w:p>
      <w:pPr>
        <w:spacing w:after="60"/>
        <w:ind w:left="720" w:hanging="360"/>
      </w:pPr>
      <w:r>
        <w:rPr>
          <w:rFonts w:ascii="Times New Roman" w:hAnsi="Times New Roman" w:cs="Times New Roman"/>
        </w:rPr>
        <w:t xml:space="preserve">2.	</w:t>
      </w:r>
      <w:r>
        <w:rPr>
          <w:rFonts w:ascii="Times New Roman" w:hAnsi="Times New Roman" w:cs="Times New Roman"/>
        </w:rPr>
        <w:t xml:space="preserve">Production cookie scan with and without consent; complete the table.</w:t>
      </w:r>
    </w:p>
    <w:p>
      <w:pPr>
        <w:spacing w:after="60"/>
        <w:ind w:left="720" w:hanging="360"/>
      </w:pPr>
      <w:r>
        <w:rPr>
          <w:rFonts w:ascii="Times New Roman" w:hAnsi="Times New Roman" w:cs="Times New Roman"/>
        </w:rPr>
        <w:t xml:space="preserve">3.	</w:t>
      </w:r>
      <w:r>
        <w:rPr>
          <w:rFonts w:ascii="Times New Roman" w:hAnsi="Times New Roman" w:cs="Times New Roman"/>
        </w:rPr>
        <w:t xml:space="preserve">Consent management deployed for the EEA, UK and Switzerland; tags fire only according to consent; "Cookie settings" footer link.</w:t>
      </w:r>
    </w:p>
    <w:p>
      <w:pPr>
        <w:spacing w:after="60"/>
        <w:ind w:left="720" w:hanging="360"/>
      </w:pPr>
      <w:r>
        <w:rPr>
          <w:rFonts w:ascii="Times New Roman" w:hAnsi="Times New Roman" w:cs="Times New Roman"/>
        </w:rPr>
        <w:t xml:space="preserve">4.	</w:t>
      </w:r>
      <w:r>
        <w:rPr>
          <w:rFonts w:ascii="Times New Roman" w:hAnsi="Times New Roman" w:cs="Times New Roman"/>
        </w:rPr>
        <w:t xml:space="preserve">Cookie lifetimes configured within Privacy Policy §11 periods.</w:t>
      </w:r>
    </w:p>
    <w:p>
      <w:pPr>
        <w:spacing w:after="60"/>
        <w:ind w:left="720" w:hanging="360"/>
      </w:pPr>
      <w:r>
        <w:rPr>
          <w:rFonts w:ascii="Times New Roman" w:hAnsi="Times New Roman" w:cs="Times New Roman"/>
        </w:rPr>
        <w:t xml:space="preserve">5.	</w:t>
      </w:r>
      <w:r>
        <w:rPr>
          <w:rFonts w:ascii="Times New Roman" w:hAnsi="Times New Roman" w:cs="Times New Roman"/>
        </w:rPr>
        <w:t xml:space="preserve">CLM-021 corrected in every language version of the published Privacy Policy and the website (EN, AR, TR, ID) at the same time.</w:t>
      </w:r>
    </w:p>
    <w:p>
      <w:pPr>
        <w:spacing w:after="60"/>
        <w:ind w:left="720" w:hanging="360"/>
      </w:pPr>
      <w:r>
        <w:rPr>
          <w:rFonts w:ascii="Times New Roman" w:hAnsi="Times New Roman" w:cs="Times New Roman"/>
        </w:rPr>
        <w:t xml:space="preserve">6.	</w:t>
      </w:r>
      <w:r>
        <w:rPr>
          <w:rFonts w:ascii="Times New Roman" w:hAnsi="Times New Roman" w:cs="Times New Roman"/>
        </w:rPr>
        <w:t xml:space="preserve">Any new GTM tag requires a legal ticket before release.</w:t>
      </w:r>
    </w:p>
    <w:p>
      <w:pPr>
        <w:pStyle w:val="Heading3"/>
        <w:keepNext/>
      </w:pPr>
      <w:r>
        <w:rPr>
          <w:rFonts w:ascii="Times New Roman" w:hAnsi="Times New Roman" w:cs="Times New Roman"/>
        </w:rPr>
        <w:t xml:space="preserve">C.3 Limits of this analysis</w:t>
      </w:r>
    </w:p>
    <w:p>
      <w:pPr>
        <w:jc w:val="both"/>
      </w:pPr>
      <w:r>
        <w:rPr>
          <w:rFonts w:ascii="Times New Roman" w:hAnsi="Times New Roman" w:cs="Times New Roman"/>
        </w:rPr>
        <w:t xml:space="preserve">(a) Not reviewed: Swiss FADP; Turkey KVKK cookie guidance; Brazil LGPD; Indonesia PDP Law; U.S. state universal opt-out laws other than California; Florida Security of Communications Act in detail. (b) Not opened: ePrivacy Directive text (EUR-Lex); CCPA regulations as amended in</w:t>
      </w:r>
    </w:p>
    <w:p>
      <w:pPr>
        <w:spacing w:after="60"/>
        <w:ind w:left="720" w:hanging="360"/>
      </w:pPr>
      <w:r>
        <w:rPr>
          <w:rFonts w:ascii="Times New Roman" w:hAnsi="Times New Roman" w:cs="Times New Roman"/>
        </w:rPr>
        <w:t xml:space="preserve">2026.	</w:t>
      </w:r>
      <w:r>
        <w:rPr>
          <w:rFonts w:ascii="Times New Roman" w:hAnsi="Times New Roman" w:cs="Times New Roman"/>
        </w:rPr>
        <w:t xml:space="preserve">(c) Facts unknown: every cookie; the consent tool; which state laws apply. (d) Counsel required: EU/UK privacy; U.S. privacy.</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(10 Majors)</w:t>
            </w:r>
          </w:p>
        </w:tc>
        <w:tc>
          <w:tcPr>
            <w:tcW w:w="2340" w:type="dxa"/>
          </w:tcPr>
          <w:p>
            <w:pPr>
              <w:spacing w:after="40"/>
            </w:pPr>
            <w:r>
              <w:rPr>
                <w:rFonts w:ascii="Times New Roman" w:hAnsi="Times New Roman" w:cs="Times New Roman"/>
                <w:sz w:val="17"/>
                <w:szCs w:val="17"/>
              </w:rPr>
              <w:t xml:space="preserve">v0.2: EEA and UK columns (UK post-DUAA 2025 exceptions); app SDK storage moved to Privacy Policy §8; GPC wording aligned with Privacy Policy §7; Your Privacy Choices link; provider notices and third-party sentence; cookie lifetimes; Google consent policy and GTM question; Florida wiretap statute; all language versions of CLM-021; snapshot before remediation; change mechanics; scope of domains; CH added</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POL-COOK-001  ·  v0.3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Cookie Notice (website) — draft with drafting notes</dc:title>
  <dc:creator>HidzoVPN Legal KB</dc:creator>
  <dc:identifier>POL-COOK-001</dc:identifier>
  <dcterms:created xsi:type="dcterms:W3CDTF">2026-09-28T09:52:26Z</dcterms:created>
</cp:coreProperties>
</file>