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200"/>
        <w:jc w:val="center"/>
      </w:pPr>
      <w:r>
        <w:rPr>
          <w:rFonts w:ascii="Times New Roman" w:hAnsi="Times New Roman" w:cs="Times New Roman"/>
          <w:b/>
          <w:bCs/>
          <w:sz w:val="32"/>
          <w:szCs w:val="32"/>
        </w:rPr>
        <w:t xml:space="preserve">Acceptable Use Policy — draft with drafting notes</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600"/>
        <w:gridCol w:w="6760"/>
      </w:tblGrid>
      <w:tr>
        <w:trPr>
          <w:cantSplit/>
        </w:trPr>
        <w:tc>
          <w:tcPr>
            <w:tcW w:w="2600" w:type="dxa"/>
            <w:shd w:val="clear" w:color="auto" w:fill="EDEDED"/>
          </w:tcPr>
          <w:p>
            <w:pPr>
              <w:spacing w:after="40"/>
            </w:pPr>
            <w:r>
              <w:rPr>
                <w:rFonts w:ascii="Times New Roman" w:hAnsi="Times New Roman" w:cs="Times New Roman"/>
                <w:sz w:val="18"/>
                <w:szCs w:val="18"/>
              </w:rPr>
              <w:t xml:space="preserve">Doc Id</w:t>
            </w:r>
          </w:p>
        </w:tc>
        <w:tc>
          <w:tcPr>
            <w:tcW w:w="6760" w:type="dxa"/>
          </w:tcPr>
          <w:p>
            <w:pPr>
              <w:spacing w:after="40"/>
            </w:pPr>
            <w:r>
              <w:rPr>
                <w:rFonts w:ascii="Times New Roman" w:hAnsi="Times New Roman" w:cs="Times New Roman"/>
                <w:sz w:val="18"/>
                <w:szCs w:val="18"/>
              </w:rPr>
              <w:t xml:space="preserve">POL-AUP-001</w:t>
            </w:r>
          </w:p>
        </w:tc>
      </w:tr>
      <w:tr>
        <w:trPr>
          <w:cantSplit/>
        </w:trPr>
        <w:tc>
          <w:tcPr>
            <w:tcW w:w="2600" w:type="dxa"/>
            <w:shd w:val="clear" w:color="auto" w:fill="EDEDED"/>
          </w:tcPr>
          <w:p>
            <w:pPr>
              <w:spacing w:after="40"/>
            </w:pPr>
            <w:r>
              <w:rPr>
                <w:rFonts w:ascii="Times New Roman" w:hAnsi="Times New Roman" w:cs="Times New Roman"/>
                <w:sz w:val="18"/>
                <w:szCs w:val="18"/>
              </w:rPr>
              <w:t xml:space="preserve">Version</w:t>
            </w:r>
          </w:p>
        </w:tc>
        <w:tc>
          <w:tcPr>
            <w:tcW w:w="6760" w:type="dxa"/>
          </w:tcPr>
          <w:p>
            <w:pPr>
              <w:spacing w:after="40"/>
            </w:pPr>
            <w:r>
              <w:rPr>
                <w:rFonts w:ascii="Times New Roman" w:hAnsi="Times New Roman" w:cs="Times New Roman"/>
                <w:sz w:val="18"/>
                <w:szCs w:val="18"/>
              </w:rPr>
              <w:t xml:space="preserve">0.3</w:t>
            </w:r>
          </w:p>
        </w:tc>
      </w:tr>
      <w:tr>
        <w:trPr>
          <w:cantSplit/>
        </w:trPr>
        <w:tc>
          <w:tcPr>
            <w:tcW w:w="2600" w:type="dxa"/>
            <w:shd w:val="clear" w:color="auto" w:fill="EDEDED"/>
          </w:tcPr>
          <w:p>
            <w:pPr>
              <w:spacing w:after="40"/>
            </w:pPr>
            <w:r>
              <w:rPr>
                <w:rFonts w:ascii="Times New Roman" w:hAnsi="Times New Roman" w:cs="Times New Roman"/>
                <w:sz w:val="18"/>
                <w:szCs w:val="18"/>
              </w:rPr>
              <w:t xml:space="preserve">Status</w:t>
            </w:r>
          </w:p>
        </w:tc>
        <w:tc>
          <w:tcPr>
            <w:tcW w:w="6760" w:type="dxa"/>
          </w:tcPr>
          <w:p>
            <w:pPr>
              <w:spacing w:after="40"/>
            </w:pPr>
            <w:r>
              <w:rPr>
                <w:rFonts w:ascii="Times New Roman" w:hAnsi="Times New Roman" w:cs="Times New Roman"/>
                <w:sz w:val="18"/>
                <w:szCs w:val="18"/>
              </w:rPr>
              <w:t xml:space="preserve">draft</w:t>
            </w:r>
          </w:p>
        </w:tc>
      </w:tr>
      <w:tr>
        <w:trPr>
          <w:cantSplit/>
        </w:trPr>
        <w:tc>
          <w:tcPr>
            <w:tcW w:w="2600" w:type="dxa"/>
            <w:shd w:val="clear" w:color="auto" w:fill="EDEDED"/>
          </w:tcPr>
          <w:p>
            <w:pPr>
              <w:spacing w:after="40"/>
            </w:pPr>
            <w:r>
              <w:rPr>
                <w:rFonts w:ascii="Times New Roman" w:hAnsi="Times New Roman" w:cs="Times New Roman"/>
                <w:sz w:val="18"/>
                <w:szCs w:val="18"/>
              </w:rPr>
              <w:t xml:space="preserve">Date</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Created</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Last Reviewed</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Law Checked</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Owner</w:t>
            </w:r>
          </w:p>
        </w:tc>
        <w:tc>
          <w:tcPr>
            <w:tcW w:w="6760" w:type="dxa"/>
          </w:tcPr>
          <w:p>
            <w:pPr>
              <w:spacing w:after="40"/>
            </w:pPr>
            <w:r>
              <w:rPr>
                <w:rFonts w:ascii="Times New Roman" w:hAnsi="Times New Roman" w:cs="Times New Roman"/>
                <w:sz w:val="18"/>
                <w:szCs w:val="18"/>
              </w:rPr>
              <w:t xml:space="preserve">Legal Lead (to be appointed) with CTO</w:t>
            </w:r>
          </w:p>
        </w:tc>
      </w:tr>
      <w:tr>
        <w:trPr>
          <w:cantSplit/>
        </w:trPr>
        <w:tc>
          <w:tcPr>
            <w:tcW w:w="2600" w:type="dxa"/>
            <w:shd w:val="clear" w:color="auto" w:fill="EDEDED"/>
          </w:tcPr>
          <w:p>
            <w:pPr>
              <w:spacing w:after="40"/>
            </w:pPr>
            <w:r>
              <w:rPr>
                <w:rFonts w:ascii="Times New Roman" w:hAnsi="Times New Roman" w:cs="Times New Roman"/>
                <w:sz w:val="18"/>
                <w:szCs w:val="18"/>
              </w:rPr>
              <w:t xml:space="preserve">Counsel Needed</w:t>
            </w:r>
          </w:p>
        </w:tc>
        <w:tc>
          <w:tcPr>
            <w:tcW w:w="6760" w:type="dxa"/>
          </w:tcPr>
          <w:p>
            <w:pPr>
              <w:spacing w:after="40"/>
            </w:pPr>
            <w:r>
              <w:rPr>
                <w:rFonts w:ascii="Times New Roman" w:hAnsi="Times New Roman" w:cs="Times New Roman"/>
                <w:sz w:val="18"/>
                <w:szCs w:val="18"/>
              </w:rPr>
              <w:t xml:space="preserve">yes</w:t>
            </w:r>
          </w:p>
        </w:tc>
      </w:tr>
      <w:tr>
        <w:trPr>
          <w:cantSplit/>
        </w:trPr>
        <w:tc>
          <w:tcPr>
            <w:tcW w:w="2600" w:type="dxa"/>
            <w:shd w:val="clear" w:color="auto" w:fill="EDEDED"/>
          </w:tcPr>
          <w:p>
            <w:pPr>
              <w:spacing w:after="40"/>
            </w:pPr>
            <w:r>
              <w:rPr>
                <w:rFonts w:ascii="Times New Roman" w:hAnsi="Times New Roman" w:cs="Times New Roman"/>
                <w:sz w:val="18"/>
                <w:szCs w:val="18"/>
              </w:rPr>
              <w:t xml:space="preserve">Counsel Status</w:t>
            </w:r>
          </w:p>
        </w:tc>
        <w:tc>
          <w:tcPr>
            <w:tcW w:w="6760" w:type="dxa"/>
          </w:tcPr>
          <w:p>
            <w:pPr>
              <w:spacing w:after="40"/>
            </w:pPr>
            <w:r>
              <w:rPr>
                <w:rFonts w:ascii="Times New Roman" w:hAnsi="Times New Roman" w:cs="Times New Roman"/>
                <w:sz w:val="18"/>
                <w:szCs w:val="18"/>
              </w:rPr>
              <w:t xml:space="preserve">none</w:t>
            </w:r>
          </w:p>
        </w:tc>
      </w:tr>
      <w:tr>
        <w:trPr>
          <w:cantSplit/>
        </w:trPr>
        <w:tc>
          <w:tcPr>
            <w:tcW w:w="2600" w:type="dxa"/>
            <w:shd w:val="clear" w:color="auto" w:fill="EDEDED"/>
          </w:tcPr>
          <w:p>
            <w:pPr>
              <w:spacing w:after="40"/>
            </w:pPr>
            <w:r>
              <w:rPr>
                <w:rFonts w:ascii="Times New Roman" w:hAnsi="Times New Roman" w:cs="Times New Roman"/>
                <w:sz w:val="18"/>
                <w:szCs w:val="18"/>
              </w:rPr>
              <w:t xml:space="preserve">Confidentiality</w:t>
            </w:r>
          </w:p>
        </w:tc>
        <w:tc>
          <w:tcPr>
            <w:tcW w:w="6760" w:type="dxa"/>
          </w:tcPr>
          <w:p>
            <w:pPr>
              <w:spacing w:after="40"/>
            </w:pPr>
            <w:r>
              <w:rPr>
                <w:rFonts w:ascii="Times New Roman" w:hAnsi="Times New Roman" w:cs="Times New Roman"/>
                <w:sz w:val="18"/>
                <w:szCs w:val="18"/>
              </w:rPr>
              <w:t xml:space="preserve">INTERNAL — LEGAL (Part B becomes PUBLIC on publication)</w:t>
            </w:r>
          </w:p>
        </w:tc>
      </w:tr>
    </w:tbl>
    <w:p>
      <w:pPr>
        <w:spacing w:after="60"/>
      </w:pPr>
    </w:p>
    <w:p>
      <w:pPr>
        <w:shd w:val="clear" w:color="auto" w:fill="F2F2F2"/>
        <w:spacing w:after="240"/>
        <w:jc w:val="center"/>
      </w:pPr>
      <w:r>
        <w:rPr>
          <w:rFonts w:ascii="Times New Roman" w:hAnsi="Times New Roman" w:cs="Times New Roman"/>
          <w:b/>
          <w:bCs/>
          <w:sz w:val="18"/>
          <w:szCs w:val="18"/>
        </w:rPr>
        <w:t xml:space="preserve">DRAFT — PREPARED FOR REVIEW BY LICENSED COUNSEL — NOT LEGAL ADVICE</w:t>
      </w:r>
    </w:p>
    <w:p>
      <w:pPr>
        <w:shd w:val="clear" w:color="auto" w:fill="F7F7F7"/>
        <w:ind w:left="567" w:hanging="0"/>
      </w:pPr>
      <w:r>
        <w:rPr>
          <w:rFonts w:ascii="Times New Roman" w:hAnsi="Times New Roman" w:cs="Times New Roman"/>
          <w:b/>
          <w:bCs/>
          <w:i/>
        </w:rPr>
        <w:t xml:space="preserve">Prepared for review by licensed counsel. Not legal advice.</w:t>
      </w:r>
      <w:r>
        <w:rPr>
          <w:rFonts w:ascii="Times New Roman" w:hAnsi="Times New Roman" w:cs="Times New Roman"/>
          <w:i/>
        </w:rPr>
        <w:t xml:space="preserve"> Part B is the proposed public text; Parts A and C are internal.</w:t>
      </w:r>
    </w:p>
    <w:p>
      <w:pPr>
        <w:pStyle w:val="Heading2"/>
        <w:keepNext/>
      </w:pPr>
      <w:r>
        <w:rPr>
          <w:rFonts w:ascii="Times New Roman" w:hAnsi="Times New Roman" w:cs="Times New Roman"/>
        </w:rPr>
        <w:t xml:space="preserve">Part A — Drafting brief (internal)</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4680"/>
        <w:gridCol w:w="4680"/>
      </w:tblGrid>
      <w:tr>
        <w:trPr>
          <w:tblHeader/>
          <w:cantSplit/>
        </w:trPr>
        <w:tc>
          <w:tcPr>
            <w:tcW w:w="4680" w:type="dxa"/>
            <w:shd w:val="clear" w:color="auto" w:fill="D9D9D9"/>
          </w:tcPr>
          <w:p>
            <w:pPr>
              <w:spacing w:after="40"/>
            </w:pPr>
            <w:r>
              <w:rPr>
                <w:rFonts w:ascii="Times New Roman" w:hAnsi="Times New Roman" w:cs="Times New Roman"/>
                <w:b/>
                <w:bCs/>
                <w:sz w:val="17"/>
                <w:szCs w:val="17"/>
              </w:rPr>
              <w:t xml:space="preserve">Item</w:t>
            </w:r>
          </w:p>
        </w:tc>
        <w:tc>
          <w:tcPr>
            <w:tcW w:w="4680" w:type="dxa"/>
            <w:shd w:val="clear" w:color="auto" w:fill="D9D9D9"/>
          </w:tcPr>
          <w:p>
            <w:pPr>
              <w:spacing w:after="40"/>
            </w:pPr>
            <w:r>
              <w:rPr>
                <w:rFonts w:ascii="Times New Roman" w:hAnsi="Times New Roman" w:cs="Times New Roman"/>
                <w:b/>
                <w:bCs/>
                <w:sz w:val="17"/>
                <w:szCs w:val="17"/>
              </w:rPr>
              <w:t xml:space="preserve">Value</w:t>
            </w:r>
          </w:p>
        </w:tc>
      </w:tr>
      <w:tr>
        <w:trPr>
          <w:cantSplit/>
        </w:trPr>
        <w:tc>
          <w:tcPr>
            <w:tcW w:w="4680" w:type="dxa"/>
          </w:tcPr>
          <w:p>
            <w:pPr>
              <w:spacing w:after="40"/>
            </w:pPr>
            <w:r>
              <w:rPr>
                <w:rFonts w:ascii="Times New Roman" w:hAnsi="Times New Roman" w:cs="Times New Roman"/>
                <w:sz w:val="17"/>
                <w:szCs w:val="17"/>
              </w:rPr>
              <w:t xml:space="preserve">Question presented</w:t>
            </w:r>
          </w:p>
        </w:tc>
        <w:tc>
          <w:tcPr>
            <w:tcW w:w="4680" w:type="dxa"/>
          </w:tcPr>
          <w:p>
            <w:pPr>
              <w:spacing w:after="40"/>
            </w:pPr>
            <w:r>
              <w:rPr>
                <w:rFonts w:ascii="Times New Roman" w:hAnsi="Times New Roman" w:cs="Times New Roman"/>
                <w:sz w:val="17"/>
                <w:szCs w:val="17"/>
              </w:rPr>
              <w:t xml:space="preserve">What uses of the Services are prohibited, how does HidzoVPN learn of and act on abuse, and how can a user appeal — without describing traffic monitoring that the Privacy Policy does not permit?</w:t>
            </w:r>
          </w:p>
        </w:tc>
      </w:tr>
      <w:tr>
        <w:trPr>
          <w:cantSplit/>
        </w:trPr>
        <w:tc>
          <w:tcPr>
            <w:tcW w:w="4680" w:type="dxa"/>
          </w:tcPr>
          <w:p>
            <w:pPr>
              <w:spacing w:after="40"/>
            </w:pPr>
            <w:r>
              <w:rPr>
                <w:rFonts w:ascii="Times New Roman" w:hAnsi="Times New Roman" w:cs="Times New Roman"/>
                <w:sz w:val="17"/>
                <w:szCs w:val="17"/>
              </w:rPr>
              <w:t xml:space="preserve">Key constraint</w:t>
            </w:r>
          </w:p>
        </w:tc>
        <w:tc>
          <w:tcPr>
            <w:tcW w:w="4680" w:type="dxa"/>
          </w:tcPr>
          <w:p>
            <w:pPr>
              <w:spacing w:after="40"/>
            </w:pPr>
            <w:r>
              <w:rPr>
                <w:rFonts w:ascii="Times New Roman" w:hAnsi="Times New Roman" w:cs="Times New Roman"/>
                <w:sz w:val="17"/>
                <w:szCs w:val="17"/>
              </w:rPr>
              <w:t xml:space="preserve">The published Terms (§6, EV-002) say "we use automated tools to monitor for violations", which contradicts the no-monitoring position (RSK-028). This policy describes abuse controls that do not inspect traffic content: complaints from third parties, rate limits, port restrictions, account and payment signals </w:t>
            </w:r>
            <w:r>
              <w:rPr>
                <w:rFonts w:ascii="Consolas" w:hAnsi="Consolas" w:cs="Times New Roman"/>
                <w:sz w:val="17"/>
                <w:szCs w:val="17"/>
              </w:rPr>
              <w:t xml:space="preserve">[ENGINEERING: confirm the actual controls — roadmap #27 "Abuse Handling Design"]</w:t>
            </w:r>
          </w:p>
        </w:tc>
      </w:tr>
      <w:tr>
        <w:trPr>
          <w:cantSplit/>
        </w:trPr>
        <w:tc>
          <w:tcPr>
            <w:tcW w:w="4680" w:type="dxa"/>
          </w:tcPr>
          <w:p>
            <w:pPr>
              <w:spacing w:after="40"/>
            </w:pPr>
            <w:r>
              <w:rPr>
                <w:rFonts w:ascii="Times New Roman" w:hAnsi="Times New Roman" w:cs="Times New Roman"/>
                <w:sz w:val="17"/>
                <w:szCs w:val="17"/>
              </w:rPr>
              <w:t xml:space="preserve">Sources</w:t>
            </w:r>
          </w:p>
        </w:tc>
        <w:tc>
          <w:tcPr>
            <w:tcW w:w="4680" w:type="dxa"/>
          </w:tcPr>
          <w:p>
            <w:pPr>
              <w:spacing w:after="40"/>
            </w:pPr>
            <w:r>
              <w:rPr>
                <w:rFonts w:ascii="Times New Roman" w:hAnsi="Times New Roman" w:cs="Times New Roman"/>
                <w:sz w:val="17"/>
                <w:szCs w:val="17"/>
              </w:rPr>
              <w:t xml:space="preserve">ToS v2.0 §§8–10 (EV-302)</w:t>
            </w:r>
          </w:p>
        </w:tc>
      </w:tr>
    </w:tbl>
    <w:p>
      <w:pPr>
        <w:spacing w:after="60"/>
      </w:pPr>
    </w:p>
    <w:p>
      <w:pPr>
        <w:pStyle w:val="Heading2"/>
        <w:keepNext/>
      </w:pPr>
      <w:r>
        <w:rPr>
          <w:rFonts w:ascii="Times New Roman" w:hAnsi="Times New Roman" w:cs="Times New Roman"/>
        </w:rPr>
        <w:t xml:space="preserve">Part B — Proposed public text</w:t>
      </w:r>
    </w:p>
    <w:p>
      <w:pPr>
        <w:pStyle w:val="Heading1"/>
        <w:keepNext/>
      </w:pPr>
      <w:r>
        <w:rPr>
          <w:rFonts w:ascii="Times New Roman" w:hAnsi="Times New Roman" w:cs="Times New Roman"/>
        </w:rPr>
        <w:t xml:space="preserve">Acceptable Use Policy</w:t>
      </w:r>
    </w:p>
    <w:p>
      <w:pPr>
        <w:jc w:val="both"/>
      </w:pPr>
      <w:r>
        <w:rPr>
          <w:rFonts w:ascii="Times New Roman" w:hAnsi="Times New Roman" w:cs="Times New Roman"/>
          <w:b/>
          <w:bCs/>
        </w:rPr>
        <w:t xml:space="preserve">Version:</w:t>
      </w:r>
      <w:r>
        <w:rPr>
          <w:rFonts w:ascii="Times New Roman" w:hAnsi="Times New Roman" w:cs="Times New Roman"/>
        </w:rPr>
        <w:t xml:space="preserve"> 1.0 </w:t>
      </w:r>
      <w:r>
        <w:rPr>
          <w:rFonts w:ascii="Consolas" w:hAnsi="Consolas" w:cs="Times New Roman"/>
        </w:rPr>
        <w:t xml:space="preserve">[OPEN]</w:t>
      </w:r>
      <w:r>
        <w:rPr>
          <w:rFonts w:ascii="Times New Roman" w:hAnsi="Times New Roman" w:cs="Times New Roman"/>
        </w:rPr>
        <w:t xml:space="preserve"> · </w:t>
      </w:r>
      <w:r>
        <w:rPr>
          <w:rFonts w:ascii="Times New Roman" w:hAnsi="Times New Roman" w:cs="Times New Roman"/>
          <w:b/>
          <w:bCs/>
        </w:rPr>
        <w:t xml:space="preserve">Effective:</w:t>
      </w:r>
      <w:r>
        <w:rPr>
          <w:rFonts w:ascii="Times New Roman" w:hAnsi="Times New Roman" w:cs="Times New Roman"/>
        </w:rPr>
        <w:t xml:space="preserve"> </w:t>
      </w:r>
      <w:r>
        <w:rPr>
          <w:rFonts w:ascii="Consolas" w:hAnsi="Consolas" w:cs="Times New Roman"/>
        </w:rPr>
        <w:t xml:space="preserve">[OPEN: date]</w:t>
      </w:r>
    </w:p>
    <w:p>
      <w:pPr>
        <w:jc w:val="both"/>
      </w:pPr>
      <w:r>
        <w:rPr>
          <w:rFonts w:ascii="Times New Roman" w:hAnsi="Times New Roman" w:cs="Times New Roman"/>
        </w:rPr>
        <w:t xml:space="preserve">This Acceptable Use Policy is part of our Terms of Service. It applies to everyone who uses HidzoVPN, with or without an account </w:t>
      </w:r>
      <w:r>
        <w:rPr>
          <w:rFonts w:ascii="Consolas" w:hAnsi="Consolas" w:cs="Times New Roman"/>
        </w:rPr>
        <w:t xml:space="preserve">[ENGINEERING: first-launch acceptance screen that covers guest users]</w:t>
      </w:r>
      <w:r>
        <w:rPr>
          <w:rFonts w:ascii="Times New Roman" w:hAnsi="Times New Roman" w:cs="Times New Roman"/>
        </w:rPr>
        <w:t xml:space="preserve">. It is issued by HidzoVPN, Inc., a Florida corporation.</w:t>
      </w:r>
    </w:p>
    <w:p>
      <w:pPr>
        <w:pStyle w:val="Heading2"/>
        <w:keepNext/>
      </w:pPr>
      <w:r>
        <w:rPr>
          <w:rFonts w:ascii="Times New Roman" w:hAnsi="Times New Roman" w:cs="Times New Roman"/>
        </w:rPr>
        <w:t xml:space="preserve">1. What you may not do</w:t>
      </w:r>
    </w:p>
    <w:p>
      <w:pPr>
        <w:jc w:val="both"/>
      </w:pPr>
      <w:r>
        <w:rPr>
          <w:rFonts w:ascii="Times New Roman" w:hAnsi="Times New Roman" w:cs="Times New Roman"/>
        </w:rPr>
        <w:t xml:space="preserve">Except as permitted by our Vulnerability Disclosure Policy, you may not use HidzoVPN, or help or allow anyone else to use it, to:</w:t>
      </w:r>
    </w:p>
    <w:p>
      <w:pPr>
        <w:spacing w:after="60"/>
        <w:ind w:left="720" w:hanging="360"/>
      </w:pPr>
      <w:r>
        <w:rPr>
          <w:rFonts w:ascii="Times New Roman" w:hAnsi="Times New Roman" w:cs="Times New Roman"/>
        </w:rPr>
        <w:t xml:space="preserve">1.	</w:t>
      </w:r>
      <w:r>
        <w:rPr>
          <w:rFonts w:ascii="Times New Roman" w:hAnsi="Times New Roman" w:cs="Times New Roman"/>
        </w:rPr>
        <w:t xml:space="preserve">break any law that protects other people, their property, networks or systems, or any law of the United States </w:t>
      </w:r>
      <w:r>
        <w:rPr>
          <w:rFonts w:ascii="Consolas" w:hAnsi="Consolas" w:cs="Times New Roman"/>
        </w:rPr>
        <w:t xml:space="preserve">[COUNSEL (consumer and OFAC): scope — see Part C.1; a global "any law" rule would treat use of a VPN where VPNs are restricted as a breach]</w:t>
      </w:r>
      <w:r>
        <w:rPr>
          <w:rFonts w:ascii="Times New Roman" w:hAnsi="Times New Roman" w:cs="Times New Roman"/>
        </w:rPr>
        <w:t xml:space="preserve">;</w:t>
      </w:r>
    </w:p>
    <w:p>
      <w:pPr>
        <w:spacing w:after="60"/>
        <w:ind w:left="720" w:hanging="360"/>
      </w:pPr>
      <w:r>
        <w:rPr>
          <w:rFonts w:ascii="Times New Roman" w:hAnsi="Times New Roman" w:cs="Times New Roman"/>
        </w:rPr>
        <w:t xml:space="preserve">2.	</w:t>
      </w:r>
      <w:r>
        <w:rPr>
          <w:rFonts w:ascii="Times New Roman" w:hAnsi="Times New Roman" w:cs="Times New Roman"/>
        </w:rPr>
        <w:t xml:space="preserve">create, access, store, share or promote child sexual abuse material, or exploit or endanger a child in any way;</w:t>
      </w:r>
    </w:p>
    <w:p>
      <w:pPr>
        <w:spacing w:after="60"/>
        <w:ind w:left="720" w:hanging="360"/>
      </w:pPr>
      <w:r>
        <w:rPr>
          <w:rFonts w:ascii="Times New Roman" w:hAnsi="Times New Roman" w:cs="Times New Roman"/>
        </w:rPr>
        <w:t xml:space="preserve">3.	</w:t>
      </w:r>
      <w:r>
        <w:rPr>
          <w:rFonts w:ascii="Times New Roman" w:hAnsi="Times New Roman" w:cs="Times New Roman"/>
        </w:rPr>
        <w:t xml:space="preserve">commit or help commit fraud, phishing, identity theft, money laundering or unauthorized payments;</w:t>
      </w:r>
    </w:p>
    <w:p>
      <w:pPr>
        <w:spacing w:after="60"/>
        <w:ind w:left="720" w:hanging="360"/>
      </w:pPr>
      <w:r>
        <w:rPr>
          <w:rFonts w:ascii="Times New Roman" w:hAnsi="Times New Roman" w:cs="Times New Roman"/>
        </w:rPr>
        <w:t xml:space="preserve">4.	</w:t>
      </w:r>
      <w:r>
        <w:rPr>
          <w:rFonts w:ascii="Times New Roman" w:hAnsi="Times New Roman" w:cs="Times New Roman"/>
        </w:rPr>
        <w:t xml:space="preserve">send spam or other unsolicited bulk messages;</w:t>
      </w:r>
    </w:p>
    <w:p>
      <w:pPr>
        <w:spacing w:after="60"/>
        <w:ind w:left="720" w:hanging="360"/>
      </w:pPr>
      <w:r>
        <w:rPr>
          <w:rFonts w:ascii="Times New Roman" w:hAnsi="Times New Roman" w:cs="Times New Roman"/>
        </w:rPr>
        <w:t xml:space="preserve">5.	</w:t>
      </w:r>
      <w:r>
        <w:rPr>
          <w:rFonts w:ascii="Times New Roman" w:hAnsi="Times New Roman" w:cs="Times New Roman"/>
        </w:rPr>
        <w:t xml:space="preserve">create, distribute or control malware, ransomware, spyware, botnets or other malicious code;</w:t>
      </w:r>
    </w:p>
    <w:p>
      <w:pPr>
        <w:spacing w:after="60"/>
        <w:ind w:left="720" w:hanging="360"/>
      </w:pPr>
      <w:r>
        <w:rPr>
          <w:rFonts w:ascii="Times New Roman" w:hAnsi="Times New Roman" w:cs="Times New Roman"/>
        </w:rPr>
        <w:t xml:space="preserve">6.	</w:t>
      </w:r>
      <w:r>
        <w:rPr>
          <w:rFonts w:ascii="Times New Roman" w:hAnsi="Times New Roman" w:cs="Times New Roman"/>
        </w:rPr>
        <w:t xml:space="preserve">gain or attempt to gain unauthorized access to any account, device, network or system, including by credential stuffing or brute-force attacks;</w:t>
      </w:r>
    </w:p>
    <w:p>
      <w:pPr>
        <w:spacing w:after="60"/>
        <w:ind w:left="720" w:hanging="360"/>
      </w:pPr>
      <w:r>
        <w:rPr>
          <w:rFonts w:ascii="Times New Roman" w:hAnsi="Times New Roman" w:cs="Times New Roman"/>
        </w:rPr>
        <w:t xml:space="preserve">7.	</w:t>
      </w:r>
      <w:r>
        <w:rPr>
          <w:rFonts w:ascii="Times New Roman" w:hAnsi="Times New Roman" w:cs="Times New Roman"/>
        </w:rPr>
        <w:t xml:space="preserve">scan, probe or test the security of any system without its owner's permission;</w:t>
      </w:r>
    </w:p>
    <w:p>
      <w:pPr>
        <w:spacing w:after="60"/>
        <w:ind w:left="720" w:hanging="360"/>
      </w:pPr>
      <w:r>
        <w:rPr>
          <w:rFonts w:ascii="Times New Roman" w:hAnsi="Times New Roman" w:cs="Times New Roman"/>
        </w:rPr>
        <w:t xml:space="preserve">8.	</w:t>
      </w:r>
      <w:r>
        <w:rPr>
          <w:rFonts w:ascii="Times New Roman" w:hAnsi="Times New Roman" w:cs="Times New Roman"/>
        </w:rPr>
        <w:t xml:space="preserve">take part in denial-of-service attacks or other attacks that overload or disrupt a network or service;</w:t>
      </w:r>
    </w:p>
    <w:p>
      <w:pPr>
        <w:spacing w:after="60"/>
        <w:ind w:left="720" w:hanging="360"/>
      </w:pPr>
      <w:r>
        <w:rPr>
          <w:rFonts w:ascii="Times New Roman" w:hAnsi="Times New Roman" w:cs="Times New Roman"/>
        </w:rPr>
        <w:t xml:space="preserve">9.	</w:t>
      </w:r>
      <w:r>
        <w:rPr>
          <w:rFonts w:ascii="Times New Roman" w:hAnsi="Times New Roman" w:cs="Times New Roman"/>
        </w:rPr>
        <w:t xml:space="preserve">infringe copyright, trademarks or other rights of others, including by sharing content you are not authorized to share;</w:t>
      </w:r>
    </w:p>
    <w:p>
      <w:pPr>
        <w:spacing w:after="60"/>
        <w:ind w:left="720" w:hanging="360"/>
      </w:pPr>
      <w:r>
        <w:rPr>
          <w:rFonts w:ascii="Times New Roman" w:hAnsi="Times New Roman" w:cs="Times New Roman"/>
        </w:rPr>
        <w:t xml:space="preserve">10.	</w:t>
      </w:r>
      <w:r>
        <w:rPr>
          <w:rFonts w:ascii="Times New Roman" w:hAnsi="Times New Roman" w:cs="Times New Roman"/>
        </w:rPr>
        <w:t xml:space="preserve">harass, threaten or incite violence against any person, or support terrorism;</w:t>
      </w:r>
    </w:p>
    <w:p>
      <w:pPr>
        <w:spacing w:after="60"/>
        <w:ind w:left="720" w:hanging="360"/>
      </w:pPr>
      <w:r>
        <w:rPr>
          <w:rFonts w:ascii="Times New Roman" w:hAnsi="Times New Roman" w:cs="Times New Roman"/>
        </w:rPr>
        <w:t xml:space="preserve">11.	</w:t>
      </w:r>
      <w:r>
        <w:rPr>
          <w:rFonts w:ascii="Times New Roman" w:hAnsi="Times New Roman" w:cs="Times New Roman"/>
        </w:rPr>
        <w:t xml:space="preserve">collect data from websites or services in a way that breaks the law;</w:t>
      </w:r>
    </w:p>
    <w:p>
      <w:pPr>
        <w:spacing w:after="60"/>
        <w:ind w:left="720" w:hanging="360"/>
      </w:pPr>
      <w:r>
        <w:rPr>
          <w:rFonts w:ascii="Times New Roman" w:hAnsi="Times New Roman" w:cs="Times New Roman"/>
        </w:rPr>
        <w:t xml:space="preserve">12.	</w:t>
      </w:r>
      <w:r>
        <w:rPr>
          <w:rFonts w:ascii="Times New Roman" w:hAnsi="Times New Roman" w:cs="Times New Roman"/>
        </w:rPr>
        <w:t xml:space="preserve">use the Services in a way that places an unreasonable load on our network or degrades it for other users;</w:t>
      </w:r>
    </w:p>
    <w:p>
      <w:pPr>
        <w:spacing w:after="60"/>
        <w:ind w:left="720" w:hanging="360"/>
      </w:pPr>
      <w:r>
        <w:rPr>
          <w:rFonts w:ascii="Times New Roman" w:hAnsi="Times New Roman" w:cs="Times New Roman"/>
        </w:rPr>
        <w:t xml:space="preserve">13.	</w:t>
      </w:r>
      <w:r>
        <w:rPr>
          <w:rFonts w:ascii="Times New Roman" w:hAnsi="Times New Roman" w:cs="Times New Roman"/>
        </w:rPr>
        <w:t xml:space="preserve">interfere with or attack HidzoVPN's servers, apps, accounts or billing systems, get around plan or device limits, or modify our apps to remove or bypass advertising in the Free Service </w:t>
      </w:r>
      <w:r>
        <w:rPr>
          <w:rFonts w:ascii="Consolas" w:hAnsi="Consolas" w:cs="Times New Roman"/>
        </w:rPr>
        <w:t xml:space="preserve">[OPEN — BRF-2026-001 D4]</w:t>
      </w:r>
      <w:r>
        <w:rPr>
          <w:rFonts w:ascii="Times New Roman" w:hAnsi="Times New Roman" w:cs="Times New Roman"/>
        </w:rPr>
        <w:t xml:space="preserve">;</w:t>
      </w:r>
    </w:p>
    <w:p>
      <w:pPr>
        <w:spacing w:after="60"/>
        <w:ind w:left="720" w:hanging="360"/>
      </w:pPr>
      <w:r>
        <w:rPr>
          <w:rFonts w:ascii="Times New Roman" w:hAnsi="Times New Roman" w:cs="Times New Roman"/>
        </w:rPr>
        <w:t xml:space="preserve">14.	</w:t>
      </w:r>
      <w:r>
        <w:rPr>
          <w:rFonts w:ascii="Times New Roman" w:hAnsi="Times New Roman" w:cs="Times New Roman"/>
        </w:rPr>
        <w:t xml:space="preserve">resell, share publicly or provide access to the Services as a commercial service without our written permission; or</w:t>
      </w:r>
    </w:p>
    <w:p>
      <w:pPr>
        <w:spacing w:after="60"/>
        <w:ind w:left="720" w:hanging="360"/>
      </w:pPr>
      <w:r>
        <w:rPr>
          <w:rFonts w:ascii="Times New Roman" w:hAnsi="Times New Roman" w:cs="Times New Roman"/>
        </w:rPr>
        <w:t xml:space="preserve">15.	</w:t>
      </w:r>
      <w:r>
        <w:rPr>
          <w:rFonts w:ascii="Times New Roman" w:hAnsi="Times New Roman" w:cs="Times New Roman"/>
        </w:rPr>
        <w:t xml:space="preserve">use the Services after we have suspended or closed your account.</w:t>
      </w:r>
    </w:p>
    <w:p>
      <w:pPr>
        <w:pStyle w:val="Heading2"/>
        <w:keepNext/>
      </w:pPr>
      <w:r>
        <w:rPr>
          <w:rFonts w:ascii="Times New Roman" w:hAnsi="Times New Roman" w:cs="Times New Roman"/>
        </w:rPr>
        <w:t xml:space="preserve">2. File sharing (P2P)</w:t>
      </w:r>
    </w:p>
    <w:p>
      <w:pPr>
        <w:jc w:val="both"/>
      </w:pPr>
      <w:r>
        <w:rPr>
          <w:rFonts w:ascii="Consolas" w:hAnsi="Consolas" w:cs="Times New Roman"/>
        </w:rPr>
        <w:t xml:space="preserve">[ENGINEERING: state the method. If P2P is limited by blocking ports: "We may block ports commonly used for peer-to-peer file sharing on some servers. We do not inspect the content of your traffic to do so." If limiting P2P requires classifying or inspecting traffic, this section and Section 3 must be rewritten to describe it — RSK-028.]</w:t>
      </w:r>
      <w:r>
        <w:rPr>
          <w:rFonts w:ascii="Times New Roman" w:hAnsi="Times New Roman" w:cs="Times New Roman"/>
        </w:rPr>
        <w:t xml:space="preserve"> Where peer-to-peer file sharing is available, you may use it only for content you have the right to share.</w:t>
      </w:r>
    </w:p>
    <w:p>
      <w:pPr>
        <w:pStyle w:val="Heading2"/>
        <w:keepNext/>
      </w:pPr>
      <w:r>
        <w:rPr>
          <w:rFonts w:ascii="Times New Roman" w:hAnsi="Times New Roman" w:cs="Times New Roman"/>
        </w:rPr>
        <w:t xml:space="preserve">3. How we become aware of abuse</w:t>
      </w:r>
    </w:p>
    <w:p>
      <w:pPr>
        <w:jc w:val="both"/>
      </w:pPr>
      <w:r>
        <w:rPr>
          <w:rFonts w:ascii="Times New Roman" w:hAnsi="Times New Roman" w:cs="Times New Roman"/>
        </w:rPr>
        <w:t xml:space="preserve">We monitor the health and security of our systems. We do not monitor the content of your traffic or the websites you visit </w:t>
      </w:r>
      <w:r>
        <w:rPr>
          <w:rFonts w:ascii="Consolas" w:hAnsi="Consolas" w:cs="Times New Roman"/>
        </w:rPr>
        <w:t xml:space="preserve">[ENGINEERING: attestation required; must match Privacy Policy §3.3]</w:t>
      </w:r>
      <w:r>
        <w:rPr>
          <w:rFonts w:ascii="Times New Roman" w:hAnsi="Times New Roman" w:cs="Times New Roman"/>
        </w:rPr>
        <w:t xml:space="preserve">. We learn of possible abuse from:</w:t>
      </w:r>
    </w:p>
    <w:p>
      <w:pPr>
        <w:spacing w:after="60"/>
        <w:ind w:left="720" w:hanging="360"/>
      </w:pPr>
      <w:r>
        <w:rPr>
          <w:rFonts w:ascii="Times New Roman" w:hAnsi="Times New Roman" w:cs="Times New Roman"/>
        </w:rPr>
        <w:t xml:space="preserve">•	</w:t>
      </w:r>
      <w:r>
        <w:rPr>
          <w:rFonts w:ascii="Times New Roman" w:hAnsi="Times New Roman" w:cs="Times New Roman"/>
        </w:rPr>
        <w:t xml:space="preserve">complaints from network operators, hosting providers, rights holders, other users and authorities;</w:t>
      </w:r>
    </w:p>
    <w:p>
      <w:pPr>
        <w:spacing w:after="60"/>
        <w:ind w:left="720" w:hanging="360"/>
      </w:pPr>
      <w:r>
        <w:rPr>
          <w:rFonts w:ascii="Times New Roman" w:hAnsi="Times New Roman" w:cs="Times New Roman"/>
        </w:rPr>
        <w:t xml:space="preserve">•	</w:t>
      </w:r>
      <w:r>
        <w:rPr>
          <w:rFonts w:ascii="Times New Roman" w:hAnsi="Times New Roman" w:cs="Times New Roman"/>
        </w:rPr>
        <w:t xml:space="preserve">automated protections that do not inspect the content of your traffic, such as limits on connection rates, blocked outbound ports (for example, ports commonly used to send spam) and limits on simultaneous connections </w:t>
      </w:r>
      <w:r>
        <w:rPr>
          <w:rFonts w:ascii="Consolas" w:hAnsi="Consolas" w:cs="Times New Roman"/>
        </w:rPr>
        <w:t xml:space="preserve">[ENGINEERING: list the controls actually in place]</w:t>
      </w:r>
      <w:r>
        <w:rPr>
          <w:rFonts w:ascii="Times New Roman" w:hAnsi="Times New Roman" w:cs="Times New Roman"/>
        </w:rPr>
        <w:t xml:space="preserve">; and</w:t>
      </w:r>
    </w:p>
    <w:p>
      <w:pPr>
        <w:spacing w:after="60"/>
        <w:ind w:left="720" w:hanging="360"/>
      </w:pPr>
      <w:r>
        <w:rPr>
          <w:rFonts w:ascii="Times New Roman" w:hAnsi="Times New Roman" w:cs="Times New Roman"/>
        </w:rPr>
        <w:t xml:space="preserve">•	</w:t>
      </w:r>
      <w:r>
        <w:rPr>
          <w:rFonts w:ascii="Times New Roman" w:hAnsi="Times New Roman" w:cs="Times New Roman"/>
        </w:rPr>
        <w:t xml:space="preserve">account, device and payment signals, such as repeated failed sign-ins or chargebacks.</w:t>
      </w:r>
    </w:p>
    <w:p>
      <w:pPr>
        <w:jc w:val="both"/>
      </w:pPr>
      <w:r>
        <w:rPr>
          <w:rFonts w:ascii="Times New Roman" w:hAnsi="Times New Roman" w:cs="Times New Roman"/>
        </w:rPr>
        <w:t xml:space="preserve">We do not record the websites you visit, the content of your traffic or your DNS queries </w:t>
      </w:r>
      <w:r>
        <w:rPr>
          <w:rFonts w:ascii="Consolas" w:hAnsi="Consolas" w:cs="Times New Roman"/>
        </w:rPr>
        <w:t xml:space="preserve">[ENGINEERING: attestation EV-201, EV-202; claims register entry required — CLM-034]</w:t>
      </w:r>
      <w:r>
        <w:rPr>
          <w:rFonts w:ascii="Times New Roman" w:hAnsi="Times New Roman" w:cs="Times New Roman"/>
        </w:rPr>
        <w:t xml:space="preserve">. We keep connection information only as described in Sections 3.3 and 11 of our Privacy Policy. </w:t>
      </w:r>
      <w:r>
        <w:rPr>
          <w:rFonts w:ascii="Consolas" w:hAnsi="Consolas" w:cs="Times New Roman"/>
        </w:rPr>
        <w:t xml:space="preserve">[ENGINEERING: complete — "We therefore cannot link a VPN server IP address and time to a particular user" / "We can link a VPN server IP address and time to a user only within X minutes of the connection" — must match the Law Enforcement Guidelines §3; register as a claim in the Claims Register]</w:t>
      </w:r>
    </w:p>
    <w:p>
      <w:pPr>
        <w:pStyle w:val="Heading2"/>
        <w:keepNext/>
      </w:pPr>
      <w:r>
        <w:rPr>
          <w:rFonts w:ascii="Times New Roman" w:hAnsi="Times New Roman" w:cs="Times New Roman"/>
        </w:rPr>
        <w:t xml:space="preserve">4. What we may do</w:t>
      </w:r>
    </w:p>
    <w:p>
      <w:pPr>
        <w:jc w:val="both"/>
      </w:pPr>
      <w:r>
        <w:rPr>
          <w:rFonts w:ascii="Times New Roman" w:hAnsi="Times New Roman" w:cs="Times New Roman"/>
        </w:rPr>
        <w:t xml:space="preserve">Depending on how serious the problem is, whether it has happened before and the law, we may: warn you; limit or block certain functions or ports; block a device or payment method </w:t>
      </w:r>
      <w:r>
        <w:rPr>
          <w:rFonts w:ascii="Consolas" w:hAnsi="Consolas" w:cs="Times New Roman"/>
        </w:rPr>
        <w:t xml:space="preserve">[ENGINEERING and COUNSEL: retention of blocked identifiers — Privacy Policy §11]</w:t>
      </w:r>
      <w:r>
        <w:rPr>
          <w:rFonts w:ascii="Times New Roman" w:hAnsi="Times New Roman" w:cs="Times New Roman"/>
        </w:rPr>
        <w:t xml:space="preserve">; suspend your access; or close your account. Some of these measures are applied by automated rules; a person reviews every appeal. Where reasonable and lawful, we will tell you first and give you a chance to fix the problem. We act without advance notice when this is necessary to prevent harm, protect security, comply with the law or respond to serious abuse. Where we obtain actual knowledge of apparent child sexual abuse material, we report it to the National Center for Missing &amp; Exploited Children as U.S. law requires </w:t>
      </w:r>
      <w:r>
        <w:rPr>
          <w:rFonts w:ascii="Consolas" w:hAnsi="Consolas" w:cs="Times New Roman"/>
        </w:rPr>
        <w:t xml:space="preserve">[COUNSEL: whether HidzoVPN is a "provider" under 18 U.S.C. §2258E]</w:t>
      </w:r>
      <w:r>
        <w:rPr>
          <w:rFonts w:ascii="Times New Roman" w:hAnsi="Times New Roman" w:cs="Times New Roman"/>
        </w:rPr>
        <w:t xml:space="preserve">.</w:t>
      </w:r>
    </w:p>
    <w:p>
      <w:pPr>
        <w:jc w:val="both"/>
      </w:pPr>
      <w:r>
        <w:rPr>
          <w:rFonts w:ascii="Times New Roman" w:hAnsi="Times New Roman" w:cs="Times New Roman"/>
        </w:rPr>
        <w:t xml:space="preserve">If we reasonably determine that you have seriously broken this policy and close your paid account for that reason, you are not entitled to a refund, except where the law requires one </w:t>
      </w:r>
      <w:r>
        <w:rPr>
          <w:rFonts w:ascii="Consolas" w:hAnsi="Consolas" w:cs="Times New Roman"/>
        </w:rPr>
        <w:t xml:space="preserve">[COUNSEL: EU/UK unfair-terms review]</w:t>
      </w:r>
      <w:r>
        <w:rPr>
          <w:rFonts w:ascii="Times New Roman" w:hAnsi="Times New Roman" w:cs="Times New Roman"/>
        </w:rPr>
        <w:t xml:space="preserve">.</w:t>
      </w:r>
    </w:p>
    <w:p>
      <w:pPr>
        <w:pStyle w:val="Heading2"/>
        <w:keepNext/>
      </w:pPr>
      <w:r>
        <w:rPr>
          <w:rFonts w:ascii="Times New Roman" w:hAnsi="Times New Roman" w:cs="Times New Roman"/>
        </w:rPr>
        <w:t xml:space="preserve">4A. Repeat infringement</w:t>
      </w:r>
    </w:p>
    <w:p>
      <w:pPr>
        <w:jc w:val="both"/>
      </w:pPr>
      <w:r>
        <w:rPr>
          <w:rFonts w:ascii="Times New Roman" w:hAnsi="Times New Roman" w:cs="Times New Roman"/>
        </w:rPr>
        <w:t xml:space="preserve">We will terminate, in appropriate circumstances, the accounts of users who repeatedly infringe copyright </w:t>
      </w:r>
      <w:r>
        <w:rPr>
          <w:rFonts w:ascii="Consolas" w:hAnsi="Consolas" w:cs="Times New Roman"/>
        </w:rPr>
        <w:t xml:space="preserve">[COUNSEL (copyright): a repeat-infringer policy that can be reasonably implemented under the Company's logging model — 17 U.S.C. §512(i)(1)(A)]</w:t>
      </w:r>
      <w:r>
        <w:rPr>
          <w:rFonts w:ascii="Times New Roman" w:hAnsi="Times New Roman" w:cs="Times New Roman"/>
        </w:rPr>
        <w:t xml:space="preserve">.</w:t>
      </w:r>
    </w:p>
    <w:p>
      <w:pPr>
        <w:pStyle w:val="Heading2"/>
        <w:keepNext/>
      </w:pPr>
      <w:r>
        <w:rPr>
          <w:rFonts w:ascii="Times New Roman" w:hAnsi="Times New Roman" w:cs="Times New Roman"/>
        </w:rPr>
        <w:t xml:space="preserve">5. Reporting abuse</w:t>
      </w:r>
    </w:p>
    <w:p>
      <w:pPr>
        <w:jc w:val="both"/>
      </w:pPr>
      <w:r>
        <w:rPr>
          <w:rFonts w:ascii="Times New Roman" w:hAnsi="Times New Roman" w:cs="Times New Roman"/>
        </w:rPr>
        <w:t xml:space="preserve">To report abuse of our Services, email </w:t>
      </w:r>
      <w:r>
        <w:rPr>
          <w:rFonts w:ascii="Consolas" w:hAnsi="Consolas" w:cs="Times New Roman"/>
        </w:rPr>
        <w:t xml:space="preserve">[OPEN: abuse@hidzovpn.com — mailbox to be created]</w:t>
      </w:r>
      <w:r>
        <w:rPr>
          <w:rFonts w:ascii="Times New Roman" w:hAnsi="Times New Roman" w:cs="Times New Roman"/>
        </w:rPr>
        <w:t xml:space="preserve"> with the IP address, date, time and time zone, and a description. We may not be able to act on reports that do not include this information.</w:t>
      </w:r>
    </w:p>
    <w:p>
      <w:pPr>
        <w:pStyle w:val="Heading2"/>
        <w:keepNext/>
      </w:pPr>
      <w:r>
        <w:rPr>
          <w:rFonts w:ascii="Times New Roman" w:hAnsi="Times New Roman" w:cs="Times New Roman"/>
        </w:rPr>
        <w:t xml:space="preserve">6. Appeals</w:t>
      </w:r>
    </w:p>
    <w:p>
      <w:pPr>
        <w:jc w:val="both"/>
      </w:pPr>
      <w:r>
        <w:rPr>
          <w:rFonts w:ascii="Times New Roman" w:hAnsi="Times New Roman" w:cs="Times New Roman"/>
        </w:rPr>
        <w:t xml:space="preserve">If you think we have restricted or closed your account by mistake, email support@hidzovpn.com with the subject "Account Appeal", your account email or, if you use HidzoVPN without an account, the installation identifier shown in the app, and an explanation. We will review your appeal and reply </w:t>
      </w:r>
      <w:r>
        <w:rPr>
          <w:rFonts w:ascii="Consolas" w:hAnsi="Consolas" w:cs="Times New Roman"/>
        </w:rPr>
        <w:t xml:space="preserve">[OPEN: within X business days]</w:t>
      </w:r>
      <w:r>
        <w:rPr>
          <w:rFonts w:ascii="Times New Roman" w:hAnsi="Times New Roman" w:cs="Times New Roman"/>
        </w:rPr>
        <w:t xml:space="preserve">. An appeal does not lift an urgent restriction while it is reviewed.</w:t>
      </w:r>
    </w:p>
    <w:p>
      <w:pPr>
        <w:pStyle w:val="Heading2"/>
        <w:keepNext/>
      </w:pPr>
      <w:r>
        <w:rPr>
          <w:rFonts w:ascii="Times New Roman" w:hAnsi="Times New Roman" w:cs="Times New Roman"/>
        </w:rPr>
        <w:t xml:space="preserve">7. Security research</w:t>
      </w:r>
    </w:p>
    <w:p>
      <w:pPr>
        <w:jc w:val="both"/>
      </w:pPr>
      <w:r>
        <w:rPr>
          <w:rFonts w:ascii="Times New Roman" w:hAnsi="Times New Roman" w:cs="Times New Roman"/>
        </w:rPr>
        <w:t xml:space="preserve">If you find a security vulnerability in our Services, please follow our Vulnerability Disclosure Policy </w:t>
      </w:r>
      <w:r>
        <w:rPr>
          <w:rFonts w:ascii="Consolas" w:hAnsi="Consolas" w:cs="Times New Roman"/>
        </w:rPr>
        <w:t xml:space="preserve">[OPEN: link — POL-VDP-001]</w:t>
      </w:r>
      <w:r>
        <w:rPr>
          <w:rFonts w:ascii="Times New Roman" w:hAnsi="Times New Roman" w:cs="Times New Roman"/>
        </w:rPr>
        <w:t xml:space="preserve">. Testing that follows that policy is not a breach of this Acceptable Use Policy.</w:t>
      </w:r>
    </w:p>
    <w:p>
      <w:pPr>
        <w:pStyle w:val="Heading2"/>
        <w:keepNext/>
      </w:pPr>
      <w:r>
        <w:rPr>
          <w:rFonts w:ascii="Times New Roman" w:hAnsi="Times New Roman" w:cs="Times New Roman"/>
        </w:rPr>
        <w:t xml:space="preserve">8. Changes</w:t>
      </w:r>
    </w:p>
    <w:p>
      <w:pPr>
        <w:jc w:val="both"/>
      </w:pPr>
      <w:r>
        <w:rPr>
          <w:rFonts w:ascii="Times New Roman" w:hAnsi="Times New Roman" w:cs="Times New Roman"/>
        </w:rPr>
        <w:t xml:space="preserve">We may update this policy. We will publish the new version with its effective date.</w:t>
      </w:r>
    </w:p>
    <w:p>
      <w:pPr>
        <w:pStyle w:val="Heading2"/>
        <w:keepNext/>
      </w:pPr>
      <w:r>
        <w:rPr>
          <w:rFonts w:ascii="Times New Roman" w:hAnsi="Times New Roman" w:cs="Times New Roman"/>
        </w:rPr>
        <w:t xml:space="preserve">Part C — Drafting notes (internal)</w:t>
      </w:r>
    </w:p>
    <w:p>
      <w:pPr>
        <w:pStyle w:val="Heading3"/>
        <w:keepNext/>
      </w:pPr>
      <w:r>
        <w:rPr>
          <w:rFonts w:ascii="Times New Roman" w:hAnsi="Times New Roman" w:cs="Times New Roman"/>
        </w:rPr>
        <w:t xml:space="preserve">C.1 Basis and consistency</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3120"/>
        <w:gridCol w:w="3120"/>
        <w:gridCol w:w="3120"/>
      </w:tblGrid>
      <w:tr>
        <w:trPr>
          <w:tblHeader/>
          <w:cantSplit/>
        </w:trPr>
        <w:tc>
          <w:tcPr>
            <w:tcW w:w="3120" w:type="dxa"/>
            <w:shd w:val="clear" w:color="auto" w:fill="D9D9D9"/>
          </w:tcPr>
          <w:p>
            <w:pPr>
              <w:spacing w:after="40"/>
            </w:pPr>
            <w:r>
              <w:rPr>
                <w:rFonts w:ascii="Times New Roman" w:hAnsi="Times New Roman" w:cs="Times New Roman"/>
                <w:b/>
                <w:bCs/>
                <w:sz w:val="17"/>
                <w:szCs w:val="17"/>
              </w:rPr>
              <w:t xml:space="preserve">Element</w:t>
            </w:r>
          </w:p>
        </w:tc>
        <w:tc>
          <w:tcPr>
            <w:tcW w:w="3120" w:type="dxa"/>
            <w:shd w:val="clear" w:color="auto" w:fill="D9D9D9"/>
          </w:tcPr>
          <w:p>
            <w:pPr>
              <w:spacing w:after="40"/>
            </w:pPr>
            <w:r>
              <w:rPr>
                <w:rFonts w:ascii="Times New Roman" w:hAnsi="Times New Roman" w:cs="Times New Roman"/>
                <w:b/>
                <w:bCs/>
                <w:sz w:val="17"/>
                <w:szCs w:val="17"/>
              </w:rPr>
              <w:t xml:space="preserve">Basis</w:t>
            </w:r>
          </w:p>
        </w:tc>
        <w:tc>
          <w:tcPr>
            <w:tcW w:w="3120" w:type="dxa"/>
            <w:shd w:val="clear" w:color="auto" w:fill="D9D9D9"/>
          </w:tcPr>
          <w:p>
            <w:pPr>
              <w:spacing w:after="40"/>
            </w:pPr>
            <w:r>
              <w:rPr>
                <w:rFonts w:ascii="Times New Roman" w:hAnsi="Times New Roman" w:cs="Times New Roman"/>
                <w:b/>
                <w:bCs/>
                <w:sz w:val="17"/>
                <w:szCs w:val="17"/>
              </w:rPr>
              <w:t xml:space="preserve">Label</w:t>
            </w:r>
          </w:p>
        </w:tc>
      </w:tr>
      <w:tr>
        <w:trPr>
          <w:cantSplit/>
        </w:trPr>
        <w:tc>
          <w:tcPr>
            <w:tcW w:w="3120" w:type="dxa"/>
          </w:tcPr>
          <w:p>
            <w:pPr>
              <w:spacing w:after="40"/>
            </w:pPr>
            <w:r>
              <w:rPr>
                <w:rFonts w:ascii="Times New Roman" w:hAnsi="Times New Roman" w:cs="Times New Roman"/>
                <w:sz w:val="17"/>
                <w:szCs w:val="17"/>
              </w:rPr>
              <w:t xml:space="preserve">Prohibited uses</w:t>
            </w:r>
          </w:p>
        </w:tc>
        <w:tc>
          <w:tcPr>
            <w:tcW w:w="3120" w:type="dxa"/>
          </w:tcPr>
          <w:p>
            <w:pPr>
              <w:spacing w:after="40"/>
            </w:pPr>
            <w:r>
              <w:rPr>
                <w:rFonts w:ascii="Times New Roman" w:hAnsi="Times New Roman" w:cs="Times New Roman"/>
                <w:sz w:val="17"/>
                <w:szCs w:val="17"/>
              </w:rPr>
              <w:t xml:space="preserve">ToS v2.0 §8 (EV-302); Apple Guideline 5.4 ("VPN apps must not violate local laws")</w:t>
            </w:r>
          </w:p>
        </w:tc>
        <w:tc>
          <w:tcPr>
            <w:tcW w:w="3120" w:type="dxa"/>
          </w:tcPr>
          <w:p>
            <w:pPr>
              <w:spacing w:after="40"/>
            </w:pPr>
            <w:r>
              <w:rPr>
                <w:rFonts w:ascii="Times New Roman" w:hAnsi="Times New Roman" w:cs="Times New Roman"/>
                <w:sz w:val="17"/>
                <w:szCs w:val="17"/>
              </w:rPr>
              <w:t xml:space="preserve">Verified (EV-106) as to Apple</w:t>
            </w:r>
          </w:p>
        </w:tc>
      </w:tr>
      <w:tr>
        <w:trPr>
          <w:cantSplit/>
        </w:trPr>
        <w:tc>
          <w:tcPr>
            <w:tcW w:w="3120" w:type="dxa"/>
          </w:tcPr>
          <w:p>
            <w:pPr>
              <w:spacing w:after="40"/>
            </w:pPr>
            <w:r>
              <w:rPr>
                <w:rFonts w:ascii="Times New Roman" w:hAnsi="Times New Roman" w:cs="Times New Roman"/>
                <w:sz w:val="17"/>
                <w:szCs w:val="17"/>
              </w:rPr>
              <w:t xml:space="preserve">No-monitoring description (§3)</w:t>
            </w:r>
          </w:p>
        </w:tc>
        <w:tc>
          <w:tcPr>
            <w:tcW w:w="3120" w:type="dxa"/>
          </w:tcPr>
          <w:p>
            <w:pPr>
              <w:spacing w:after="40"/>
            </w:pPr>
            <w:r>
              <w:rPr>
                <w:rFonts w:ascii="Times New Roman" w:hAnsi="Times New Roman" w:cs="Times New Roman"/>
                <w:sz w:val="17"/>
                <w:szCs w:val="17"/>
              </w:rPr>
              <w:t xml:space="preserve">Must match Privacy Policy §3.3 and engineering attestation (EV-201–205); replaces published Terms §6 (RSK-028); P2P blocking method determines whether §3 is accurate</w:t>
            </w:r>
          </w:p>
        </w:tc>
        <w:tc>
          <w:tcPr>
            <w:tcW w:w="3120" w:type="dxa"/>
          </w:tcPr>
          <w:p>
            <w:pPr>
              <w:spacing w:after="40"/>
            </w:pPr>
            <w:r>
              <w:rPr>
                <w:rFonts w:ascii="Consolas" w:hAnsi="Consolas" w:cs="Times New Roman"/>
                <w:sz w:val="17"/>
                <w:szCs w:val="17"/>
              </w:rPr>
              <w:t xml:space="preserve">[ENGINEERING]</w:t>
            </w:r>
          </w:p>
        </w:tc>
      </w:tr>
      <w:tr>
        <w:trPr>
          <w:cantSplit/>
        </w:trPr>
        <w:tc>
          <w:tcPr>
            <w:tcW w:w="3120" w:type="dxa"/>
          </w:tcPr>
          <w:p>
            <w:pPr>
              <w:spacing w:after="40"/>
            </w:pPr>
            <w:r>
              <w:rPr>
                <w:rFonts w:ascii="Times New Roman" w:hAnsi="Times New Roman" w:cs="Times New Roman"/>
                <w:sz w:val="17"/>
                <w:szCs w:val="17"/>
              </w:rPr>
              <w:t xml:space="preserve">Scope of "breaking the law" (§1 item 1)</w:t>
            </w:r>
          </w:p>
        </w:tc>
        <w:tc>
          <w:tcPr>
            <w:tcW w:w="3120" w:type="dxa"/>
          </w:tcPr>
          <w:p>
            <w:pPr>
              <w:spacing w:after="40"/>
            </w:pPr>
            <w:r>
              <w:rPr>
                <w:rFonts w:ascii="Times New Roman" w:hAnsi="Times New Roman" w:cs="Times New Roman"/>
                <w:sz w:val="17"/>
                <w:szCs w:val="17"/>
              </w:rPr>
              <w:t xml:space="preserve">A global "any law" rule would cover use of a VPN where it is restricted, while the Company serves users in restrictive markets (RSK-014; RSK-010); sanctions duties belong in the Terms (§26), not in user prohibitions (RSK-044)</w:t>
            </w:r>
          </w:p>
        </w:tc>
        <w:tc>
          <w:tcPr>
            <w:tcW w:w="3120" w:type="dxa"/>
          </w:tcPr>
          <w:p>
            <w:pPr>
              <w:spacing w:after="40"/>
            </w:pPr>
            <w:r>
              <w:rPr>
                <w:rFonts w:ascii="Consolas" w:hAnsi="Consolas" w:cs="Times New Roman"/>
                <w:sz w:val="17"/>
                <w:szCs w:val="17"/>
              </w:rPr>
              <w:t xml:space="preserve">[COUNSEL]</w:t>
            </w:r>
          </w:p>
        </w:tc>
      </w:tr>
      <w:tr>
        <w:trPr>
          <w:cantSplit/>
        </w:trPr>
        <w:tc>
          <w:tcPr>
            <w:tcW w:w="3120" w:type="dxa"/>
          </w:tcPr>
          <w:p>
            <w:pPr>
              <w:spacing w:after="40"/>
            </w:pPr>
            <w:r>
              <w:rPr>
                <w:rFonts w:ascii="Times New Roman" w:hAnsi="Times New Roman" w:cs="Times New Roman"/>
                <w:sz w:val="17"/>
                <w:szCs w:val="17"/>
              </w:rPr>
              <w:t xml:space="preserve">Repeat-infringer policy (§4A)</w:t>
            </w:r>
          </w:p>
        </w:tc>
        <w:tc>
          <w:tcPr>
            <w:tcW w:w="3120" w:type="dxa"/>
          </w:tcPr>
          <w:p>
            <w:pPr>
              <w:spacing w:after="40"/>
            </w:pPr>
            <w:r>
              <w:rPr>
                <w:rFonts w:ascii="Times New Roman" w:hAnsi="Times New Roman" w:cs="Times New Roman"/>
                <w:sz w:val="17"/>
                <w:szCs w:val="17"/>
              </w:rPr>
              <w:t xml:space="preserve">17 U.S.C. §512(i)(1)(A) (adopted, reasonably implemented, communicated to subscribers)</w:t>
            </w:r>
          </w:p>
        </w:tc>
        <w:tc>
          <w:tcPr>
            <w:tcW w:w="3120" w:type="dxa"/>
          </w:tcPr>
          <w:p>
            <w:pPr>
              <w:spacing w:after="40"/>
            </w:pPr>
            <w:r>
              <w:rPr>
                <w:rFonts w:ascii="Times New Roman" w:hAnsi="Times New Roman" w:cs="Times New Roman"/>
                <w:sz w:val="17"/>
                <w:szCs w:val="17"/>
              </w:rPr>
              <w:t xml:space="preserve">Reported (EV-236)</w:t>
            </w:r>
          </w:p>
        </w:tc>
      </w:tr>
      <w:tr>
        <w:trPr>
          <w:cantSplit/>
        </w:trPr>
        <w:tc>
          <w:tcPr>
            <w:tcW w:w="3120" w:type="dxa"/>
          </w:tcPr>
          <w:p>
            <w:pPr>
              <w:spacing w:after="40"/>
            </w:pPr>
            <w:r>
              <w:rPr>
                <w:rFonts w:ascii="Times New Roman" w:hAnsi="Times New Roman" w:cs="Times New Roman"/>
                <w:sz w:val="17"/>
                <w:szCs w:val="17"/>
              </w:rPr>
              <w:t xml:space="preserve">Restrictions and complaint handling for a mere-conduit provider</w:t>
            </w:r>
          </w:p>
        </w:tc>
        <w:tc>
          <w:tcPr>
            <w:tcW w:w="3120" w:type="dxa"/>
          </w:tcPr>
          <w:p>
            <w:pPr>
              <w:spacing w:after="40"/>
            </w:pPr>
            <w:r>
              <w:rPr>
                <w:rFonts w:ascii="Times New Roman" w:hAnsi="Times New Roman" w:cs="Times New Roman"/>
                <w:sz w:val="17"/>
                <w:szCs w:val="17"/>
              </w:rPr>
              <w:t xml:space="preserve">DSA Art. 14(1), (4); Recital 29 names VPNs</w:t>
            </w:r>
          </w:p>
        </w:tc>
        <w:tc>
          <w:tcPr>
            <w:tcW w:w="3120" w:type="dxa"/>
          </w:tcPr>
          <w:p>
            <w:pPr>
              <w:spacing w:after="40"/>
            </w:pPr>
            <w:r>
              <w:rPr>
                <w:rFonts w:ascii="Times New Roman" w:hAnsi="Times New Roman" w:cs="Times New Roman"/>
                <w:sz w:val="17"/>
                <w:szCs w:val="17"/>
              </w:rPr>
              <w:t xml:space="preserve">Reported (EV-236); Recital Verified (EV-231)</w:t>
            </w:r>
          </w:p>
        </w:tc>
      </w:tr>
      <w:tr>
        <w:trPr>
          <w:cantSplit/>
        </w:trPr>
        <w:tc>
          <w:tcPr>
            <w:tcW w:w="3120" w:type="dxa"/>
          </w:tcPr>
          <w:p>
            <w:pPr>
              <w:spacing w:after="40"/>
            </w:pPr>
            <w:r>
              <w:rPr>
                <w:rFonts w:ascii="Times New Roman" w:hAnsi="Times New Roman" w:cs="Times New Roman"/>
                <w:sz w:val="17"/>
                <w:szCs w:val="17"/>
              </w:rPr>
              <w:t xml:space="preserve">"No limits" marketing vs rate limits and port blocks</w:t>
            </w:r>
          </w:p>
        </w:tc>
        <w:tc>
          <w:tcPr>
            <w:tcW w:w="3120" w:type="dxa"/>
          </w:tcPr>
          <w:p>
            <w:pPr>
              <w:spacing w:after="40"/>
            </w:pPr>
            <w:r>
              <w:rPr>
                <w:rFonts w:ascii="Times New Roman" w:hAnsi="Times New Roman" w:cs="Times New Roman"/>
                <w:sz w:val="17"/>
                <w:szCs w:val="17"/>
              </w:rPr>
              <w:t xml:space="preserve">CLM-020 (OPEN)</w:t>
            </w:r>
          </w:p>
        </w:tc>
        <w:tc>
          <w:tcPr>
            <w:tcW w:w="3120" w:type="dxa"/>
          </w:tcPr>
          <w:p>
            <w:pPr>
              <w:spacing w:after="40"/>
            </w:pPr>
            <w:r>
              <w:rPr>
                <w:rFonts w:ascii="Times New Roman" w:hAnsi="Times New Roman" w:cs="Times New Roman"/>
                <w:sz w:val="17"/>
                <w:szCs w:val="17"/>
              </w:rPr>
              <w:t xml:space="preserve">Internal — fix marketing in the same release</w:t>
            </w:r>
          </w:p>
        </w:tc>
      </w:tr>
      <w:tr>
        <w:trPr>
          <w:cantSplit/>
        </w:trPr>
        <w:tc>
          <w:tcPr>
            <w:tcW w:w="3120" w:type="dxa"/>
          </w:tcPr>
          <w:p>
            <w:pPr>
              <w:spacing w:after="40"/>
            </w:pPr>
            <w:r>
              <w:rPr>
                <w:rFonts w:ascii="Times New Roman" w:hAnsi="Times New Roman" w:cs="Times New Roman"/>
                <w:sz w:val="17"/>
                <w:szCs w:val="17"/>
              </w:rPr>
              <w:t xml:space="preserve">CSAM reporting (§4)</w:t>
            </w:r>
          </w:p>
        </w:tc>
        <w:tc>
          <w:tcPr>
            <w:tcW w:w="3120" w:type="dxa"/>
          </w:tcPr>
          <w:p>
            <w:pPr>
              <w:spacing w:after="40"/>
            </w:pPr>
            <w:r>
              <w:rPr>
                <w:rFonts w:ascii="Times New Roman" w:hAnsi="Times New Roman" w:cs="Times New Roman"/>
                <w:sz w:val="17"/>
                <w:szCs w:val="17"/>
              </w:rPr>
              <w:t xml:space="preserve">18 U.S.C. §2258A(a)(1) (report to NCMEC CyberTipline on actual knowledge), (f) (no duty to monitor), (h) (1-year preservation after a report)</w:t>
            </w:r>
          </w:p>
        </w:tc>
        <w:tc>
          <w:tcPr>
            <w:tcW w:w="3120" w:type="dxa"/>
          </w:tcPr>
          <w:p>
            <w:pPr>
              <w:spacing w:after="40"/>
            </w:pPr>
            <w:r>
              <w:rPr>
                <w:rFonts w:ascii="Times New Roman" w:hAnsi="Times New Roman" w:cs="Times New Roman"/>
                <w:sz w:val="17"/>
                <w:szCs w:val="17"/>
              </w:rPr>
              <w:t xml:space="preserve">Reported (EV-236); applicability </w:t>
            </w:r>
            <w:r>
              <w:rPr>
                <w:rFonts w:ascii="Consolas" w:hAnsi="Consolas" w:cs="Times New Roman"/>
                <w:sz w:val="17"/>
                <w:szCs w:val="17"/>
              </w:rPr>
              <w:t xml:space="preserve">[COUNSEL]</w:t>
            </w:r>
          </w:p>
        </w:tc>
      </w:tr>
      <w:tr>
        <w:trPr>
          <w:cantSplit/>
        </w:trPr>
        <w:tc>
          <w:tcPr>
            <w:tcW w:w="3120" w:type="dxa"/>
          </w:tcPr>
          <w:p>
            <w:pPr>
              <w:spacing w:after="40"/>
            </w:pPr>
            <w:r>
              <w:rPr>
                <w:rFonts w:ascii="Times New Roman" w:hAnsi="Times New Roman" w:cs="Times New Roman"/>
                <w:sz w:val="17"/>
                <w:szCs w:val="17"/>
              </w:rPr>
              <w:t xml:space="preserve">Abuse mailbox (§5)</w:t>
            </w:r>
          </w:p>
        </w:tc>
        <w:tc>
          <w:tcPr>
            <w:tcW w:w="3120" w:type="dxa"/>
          </w:tcPr>
          <w:p>
            <w:pPr>
              <w:spacing w:after="40"/>
            </w:pPr>
            <w:r>
              <w:rPr>
                <w:rFonts w:ascii="Times New Roman" w:hAnsi="Times New Roman" w:cs="Times New Roman"/>
                <w:sz w:val="17"/>
                <w:szCs w:val="17"/>
              </w:rPr>
              <w:t xml:space="preserve">Operational; hosting providers expect a monitored abuse contact</w:t>
            </w:r>
          </w:p>
        </w:tc>
        <w:tc>
          <w:tcPr>
            <w:tcW w:w="3120" w:type="dxa"/>
          </w:tcPr>
          <w:p>
            <w:pPr>
              <w:spacing w:after="40"/>
            </w:pPr>
            <w:r>
              <w:rPr>
                <w:rFonts w:ascii="Times New Roman" w:hAnsi="Times New Roman" w:cs="Times New Roman"/>
                <w:sz w:val="17"/>
                <w:szCs w:val="17"/>
              </w:rPr>
              <w:t xml:space="preserve">Internal</w:t>
            </w:r>
          </w:p>
        </w:tc>
      </w:tr>
    </w:tbl>
    <w:p>
      <w:pPr>
        <w:spacing w:after="60"/>
      </w:pPr>
    </w:p>
    <w:p>
      <w:pPr>
        <w:pStyle w:val="Heading3"/>
        <w:keepNext/>
      </w:pPr>
      <w:r>
        <w:rPr>
          <w:rFonts w:ascii="Times New Roman" w:hAnsi="Times New Roman" w:cs="Times New Roman"/>
        </w:rPr>
        <w:t xml:space="preserve">C.2 Limits of this analysis</w:t>
      </w:r>
    </w:p>
    <w:p>
      <w:pPr>
        <w:jc w:val="both"/>
      </w:pPr>
      <w:r>
        <w:rPr>
          <w:rFonts w:ascii="Times New Roman" w:hAnsi="Times New Roman" w:cs="Times New Roman"/>
        </w:rPr>
        <w:t xml:space="preserve">Verified first-hand: Apple Guideline 5.4. Not verified: 18 U.S.C. §2258A text and applicability. Not reviewed: foreign content-regulation laws that may impose obligations on VPN providers (e.g. licensing countries — see the country database). Counsel required: U.S. consumer; criminal-law counsel for §4 reporting duties.</w:t>
      </w:r>
    </w:p>
    <w:p>
      <w:pPr>
        <w:pStyle w:val="Heading3"/>
        <w:keepNext/>
      </w:pPr>
      <w:r>
        <w:rPr>
          <w:rFonts w:ascii="Times New Roman" w:hAnsi="Times New Roman" w:cs="Times New Roman"/>
        </w:rPr>
        <w:t xml:space="preserve">C.3 Review log</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340"/>
        <w:gridCol w:w="2340"/>
        <w:gridCol w:w="2340"/>
        <w:gridCol w:w="2340"/>
      </w:tblGrid>
      <w:tr>
        <w:trPr>
          <w:tblHeader/>
          <w:cantSplit/>
        </w:trPr>
        <w:tc>
          <w:tcPr>
            <w:tcW w:w="2340" w:type="dxa"/>
            <w:shd w:val="clear" w:color="auto" w:fill="D9D9D9"/>
          </w:tcPr>
          <w:p>
            <w:pPr>
              <w:spacing w:after="40"/>
            </w:pPr>
            <w:r>
              <w:rPr>
                <w:rFonts w:ascii="Times New Roman" w:hAnsi="Times New Roman" w:cs="Times New Roman"/>
                <w:b/>
                <w:bCs/>
                <w:sz w:val="17"/>
                <w:szCs w:val="17"/>
              </w:rPr>
              <w:t xml:space="preserve">Date</w:t>
            </w:r>
          </w:p>
        </w:tc>
        <w:tc>
          <w:tcPr>
            <w:tcW w:w="2340" w:type="dxa"/>
            <w:shd w:val="clear" w:color="auto" w:fill="D9D9D9"/>
          </w:tcPr>
          <w:p>
            <w:pPr>
              <w:spacing w:after="40"/>
            </w:pPr>
            <w:r>
              <w:rPr>
                <w:rFonts w:ascii="Times New Roman" w:hAnsi="Times New Roman" w:cs="Times New Roman"/>
                <w:b/>
                <w:bCs/>
                <w:sz w:val="17"/>
                <w:szCs w:val="17"/>
              </w:rPr>
              <w:t xml:space="preserve">Reviewer</w:t>
            </w:r>
          </w:p>
        </w:tc>
        <w:tc>
          <w:tcPr>
            <w:tcW w:w="2340" w:type="dxa"/>
            <w:shd w:val="clear" w:color="auto" w:fill="D9D9D9"/>
          </w:tcPr>
          <w:p>
            <w:pPr>
              <w:spacing w:after="40"/>
            </w:pPr>
            <w:r>
              <w:rPr>
                <w:rFonts w:ascii="Times New Roman" w:hAnsi="Times New Roman" w:cs="Times New Roman"/>
                <w:b/>
                <w:bCs/>
                <w:sz w:val="17"/>
                <w:szCs w:val="17"/>
              </w:rPr>
              <w:t xml:space="preserve">Verdict</w:t>
            </w:r>
          </w:p>
        </w:tc>
        <w:tc>
          <w:tcPr>
            <w:tcW w:w="2340" w:type="dxa"/>
            <w:shd w:val="clear" w:color="auto" w:fill="D9D9D9"/>
          </w:tcPr>
          <w:p>
            <w:pPr>
              <w:spacing w:after="40"/>
            </w:pPr>
            <w:r>
              <w:rPr>
                <w:rFonts w:ascii="Times New Roman" w:hAnsi="Times New Roman" w:cs="Times New Roman"/>
                <w:b/>
                <w:bCs/>
                <w:sz w:val="17"/>
                <w:szCs w:val="17"/>
              </w:rPr>
              <w:t xml:space="preserve">Notes</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Drafted</w:t>
            </w:r>
          </w:p>
        </w:tc>
        <w:tc>
          <w:tcPr>
            <w:tcW w:w="2340" w:type="dxa"/>
          </w:tcPr>
          <w:p>
            <w:pPr>
              <w:spacing w:after="40"/>
            </w:pPr>
            <w:r>
              <w:rPr>
                <w:rFonts w:ascii="Times New Roman" w:hAnsi="Times New Roman" w:cs="Times New Roman"/>
                <w:sz w:val="17"/>
                <w:szCs w:val="17"/>
              </w:rPr>
              <w:t xml:space="preserve">—</w:t>
            </w:r>
          </w:p>
        </w:tc>
        <w:tc>
          <w:tcPr>
            <w:tcW w:w="2340" w:type="dxa"/>
          </w:tcPr>
          <w:p>
            <w:pPr>
              <w:spacing w:after="40"/>
            </w:pPr>
            <w:r>
              <w:rPr>
                <w:rFonts w:ascii="Times New Roman" w:hAnsi="Times New Roman" w:cs="Times New Roman"/>
                <w:sz w:val="17"/>
                <w:szCs w:val="17"/>
              </w:rPr>
              <w:t xml:space="preserve">v0.1 from ToS v2.0 §§8–10</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hidzo-counsel-reviewer (AI)</w:t>
            </w:r>
          </w:p>
        </w:tc>
        <w:tc>
          <w:tcPr>
            <w:tcW w:w="2340" w:type="dxa"/>
          </w:tcPr>
          <w:p>
            <w:pPr>
              <w:spacing w:after="40"/>
            </w:pPr>
            <w:r>
              <w:rPr>
                <w:rFonts w:ascii="Times New Roman" w:hAnsi="Times New Roman" w:cs="Times New Roman"/>
                <w:sz w:val="17"/>
                <w:szCs w:val="17"/>
              </w:rPr>
              <w:t xml:space="preserve">REVISE (9 Majors)</w:t>
            </w:r>
          </w:p>
        </w:tc>
        <w:tc>
          <w:tcPr>
            <w:tcW w:w="2340" w:type="dxa"/>
          </w:tcPr>
          <w:p>
            <w:pPr>
              <w:spacing w:after="40"/>
            </w:pPr>
            <w:r>
              <w:rPr>
                <w:rFonts w:ascii="Times New Roman" w:hAnsi="Times New Roman" w:cs="Times New Roman"/>
                <w:sz w:val="17"/>
                <w:szCs w:val="17"/>
              </w:rPr>
              <w:t xml:space="preserve">v0.2: P2P method bracket; connection-record wording aligned with PP; scope of item 1; repeat-infringer §4A; NCMEC wording; guest assent; automated decisions and human review (DSA); load and advertising items; appeal by installation ID; abuse@ propagation</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hidzo-counsel-reviewer (AI) — cross-document final audit; research memos EV-232–235</w:t>
            </w:r>
          </w:p>
        </w:tc>
        <w:tc>
          <w:tcPr>
            <w:tcW w:w="2340" w:type="dxa"/>
          </w:tcPr>
          <w:p>
            <w:pPr>
              <w:spacing w:after="40"/>
            </w:pPr>
            <w:r>
              <w:rPr>
                <w:rFonts w:ascii="Times New Roman" w:hAnsi="Times New Roman" w:cs="Times New Roman"/>
                <w:sz w:val="17"/>
                <w:szCs w:val="17"/>
              </w:rPr>
              <w:t xml:space="preserve">REVISE (set: 1 Blocker, 8 Majors)</w:t>
            </w:r>
          </w:p>
        </w:tc>
        <w:tc>
          <w:tcPr>
            <w:tcW w:w="2340" w:type="dxa"/>
          </w:tcPr>
          <w:p>
            <w:pPr>
              <w:spacing w:after="40"/>
            </w:pPr>
            <w:r>
              <w:rPr>
                <w:rFonts w:ascii="Times New Roman" w:hAnsi="Times New Roman" w:cs="Times New Roman"/>
                <w:sz w:val="17"/>
                <w:szCs w:val="17"/>
              </w:rPr>
              <w:t xml:space="preserve">v0.3: cross-document redlines X-01–X-31 applied where they concern this document; authority labels updated from first-hand and research-memo checks (EV-238–264)</w:t>
            </w:r>
          </w:p>
        </w:tc>
      </w:tr>
    </w:tbl>
    <w:p>
      <w:pPr>
        <w:spacing w:after="60"/>
      </w:pPr>
    </w:p>
    <w:sectPr>
      <w:headerReference w:type="default" r:id="rIdHeader"/>
      <w:footerReference w:type="default" r:id="rIdFooter"/>
      <w:pgSz w:w="12240" w:h="15840"/>
      <w:pgMar w:top="1440" w:right="1440" w:bottom="1440" w:left="1440" w:header="708" w:footer="708" w:gutter="0"/>
    </w:sectPr>
  </w:body>
</w:document>
</file>

<file path=word/footer1.xml><?xml version="1.0" encoding="utf-8"?>
<w:ftr xmlns:w="http://schemas.openxmlformats.org/wordprocessingml/2006/main" xmlns:r="http://schemas.openxmlformats.org/officeDocument/2006/relationships">
  <w:p>
    <w:pPr>
      <w:spacing w:after="0"/>
      <w:jc w:val="center"/>
    </w:pPr>
    <w:r>
      <w:rPr>
        <w:rFonts w:ascii="Times New Roman" w:hAnsi="Times New Roman" w:cs="Times New Roman"/>
        <w:sz w:val="16"/>
        <w:szCs w:val="16"/>
      </w:rPr>
      <w:t xml:space="preserve">Page </w:t>
    </w:r>
    <w:r>
      <w:fldChar w:fldCharType="begin"/>
    </w:r>
    <w:r>
      <w:instrText xml:space="preserve"> PAGE </w:instrText>
    </w:r>
    <w:r>
      <w:fldChar w:fldCharType="separate"/>
    </w:r>
    <w:r>
      <w:rPr>
        <w:rFonts w:ascii="Times New Roman" w:hAnsi="Times New Roman" w:cs="Times New Roman"/>
        <w:sz w:val="16"/>
        <w:szCs w:val="16"/>
      </w:rPr>
      <w:t xml:space="preserve">1</w:t>
    </w:r>
    <w:r>
      <w:fldChar w:fldCharType="end"/>
    </w:r>
    <w:r>
      <w:rPr>
        <w:rFonts w:ascii="Times New Roman" w:hAnsi="Times New Roman" w:cs="Times New Roman"/>
        <w:sz w:val="16"/>
        <w:szCs w:val="16"/>
      </w:rPr>
      <w:t xml:space="preserve"> of </w:t>
    </w:r>
    <w:r>
      <w:fldChar w:fldCharType="begin"/>
    </w:r>
    <w:r>
      <w:instrText xml:space="preserve"> NUMPAGES </w:instrText>
    </w:r>
    <w:r>
      <w:fldChar w:fldCharType="separate"/>
    </w:r>
    <w:r>
      <w:rPr>
        <w:rFonts w:ascii="Times New Roman" w:hAnsi="Times New Roman" w:cs="Times New Roman"/>
        <w:sz w:val="16"/>
        <w:szCs w:val="16"/>
      </w:rPr>
      <w:t xml:space="preserve">1</w:t>
    </w:r>
    <w:r>
      <w:fldChar w:fldCharType="end"/>
    </w:r>
  </w:p>
  <w:p>
    <w:pPr>
      <w:spacing w:after="0"/>
      <w:jc w:val="center"/>
    </w:pPr>
    <w:r>
      <w:rPr>
        <w:rFonts w:ascii="Times New Roman" w:hAnsi="Times New Roman" w:cs="Times New Roman"/>
        <w:b/>
        <w:bCs/>
        <w:sz w:val="14"/>
        <w:szCs w:val="14"/>
      </w:rPr>
      <w:t xml:space="preserve">DRAFT — PREPARED FOR REVIEW BY LICENSED COUNSEL — NOT LEGAL ADVICE</w:t>
    </w:r>
  </w:p>
</w:ftr>
</file>

<file path=word/header1.xml><?xml version="1.0" encoding="utf-8"?>
<w:hdr xmlns:w="http://schemas.openxmlformats.org/wordprocessingml/2006/main" xmlns:r="http://schemas.openxmlformats.org/officeDocument/2006/relationships">
  <w:p>
    <w:pPr>
      <w:jc w:val="right"/>
    </w:pPr>
    <w:r>
      <w:rPr>
        <w:rFonts w:ascii="Times New Roman" w:hAnsi="Times New Roman" w:cs="Times New Roman"/>
        <w:sz w:val="16"/>
        <w:szCs w:val="16"/>
      </w:rPr>
      <w:t xml:space="preserve">POL-AUP-001  ·  v0.3  ·  INTERNAL — LEGAL (Part B becomes PUBLIC on publication)</w:t>
    </w:r>
  </w:p>
</w:hdr>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Times New Roman"/>
        <w:sz w:val="22"/>
        <w:szCs w:val="22"/>
        <w:lang w:val="en-US"/>
      </w:rPr>
    </w:rPrDefault>
    <w:pPrDefault>
      <w:pPr>
        <w:spacing w:after="120" w:line="264"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bCs/>
      <w:sz w:val="30"/>
      <w:szCs w:val="30"/>
    </w:rPr>
  </w:style>
  <w:style w:type="paragraph" w:styleId="Heading2">
    <w:name w:val="heading 2"/>
    <w:basedOn w:val="Normal"/>
    <w:next w:val="Normal"/>
    <w:qFormat/>
    <w:pPr>
      <w:keepNext/>
      <w:spacing w:before="280" w:after="120"/>
      <w:outlineLvl w:val="1"/>
    </w:pPr>
    <w:rPr>
      <w:b/>
      <w:bCs/>
      <w:sz w:val="26"/>
      <w:szCs w:val="26"/>
    </w:rPr>
  </w:style>
  <w:style w:type="paragraph" w:styleId="Heading3">
    <w:name w:val="heading 3"/>
    <w:basedOn w:val="Normal"/>
    <w:next w:val="Normal"/>
    <w:qFormat/>
    <w:pPr>
      <w:keepNext/>
      <w:spacing w:before="200" w:after="120"/>
      <w:outlineLvl w:val="2"/>
    </w:pPr>
    <w:rPr>
      <w:b/>
      <w:bCs/>
      <w:sz w:val="24"/>
      <w:szCs w:val="24"/>
    </w:rPr>
  </w:style>
  <w:style w:type="paragraph" w:styleId="Heading4">
    <w:name w:val="heading 4"/>
    <w:basedOn w:val="Normal"/>
    <w:next w:val="Normal"/>
    <w:qFormat/>
    <w:pPr>
      <w:keepNext/>
      <w:spacing w:before="160" w:after="120"/>
      <w:outlineLvl w:val="3"/>
    </w:pPr>
    <w:rPr>
      <w:b/>
      <w:bCs/>
      <w:sz w:val="22"/>
      <w:szCs w:val="22"/>
    </w:rPr>
  </w:style>
  <w:style w:type="table" w:styleId="TableGrid">
    <w:name w:val="Table Grid"/>
    <w:tblPr>
      <w:tblBorders>
        <w:top w:val="single" w:sz="4" w:space="0" w:color="auto"/>
        <w:bottom w:val="single" w:sz="4" w:space="0" w:color="auto"/>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Header" Type="http://schemas.openxmlformats.org/officeDocument/2006/relationships/header" Target="header1.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Acceptable Use Policy — draft with drafting notes</dc:title>
  <dc:creator>HidzoVPN Legal KB</dc:creator>
  <dc:identifier>POL-AUP-001</dc:identifier>
  <dcterms:created xsi:type="dcterms:W3CDTF">2026-09-28T09:52:26Z</dcterms:created>
</cp:coreProperties>
</file>